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379" w:rsidRDefault="00F43379" w:rsidP="00ED0748">
      <w:pPr>
        <w:spacing w:before="100" w:beforeAutospacing="1" w:after="100" w:afterAutospacing="1"/>
        <w:jc w:val="right"/>
        <w:rPr>
          <w:b/>
          <w:sz w:val="18"/>
          <w:szCs w:val="18"/>
        </w:rPr>
      </w:pPr>
      <w:r>
        <w:rPr>
          <w:b/>
          <w:sz w:val="18"/>
          <w:szCs w:val="18"/>
        </w:rPr>
        <w:t>Ek-</w:t>
      </w:r>
      <w:r w:rsidR="00E271C0">
        <w:rPr>
          <w:b/>
          <w:sz w:val="18"/>
          <w:szCs w:val="18"/>
        </w:rPr>
        <w:t>1</w:t>
      </w:r>
    </w:p>
    <w:p w:rsidR="00ED0748" w:rsidRPr="00265A9E" w:rsidRDefault="00ED0748" w:rsidP="00ED0748">
      <w:pPr>
        <w:spacing w:before="100" w:beforeAutospacing="1" w:after="100" w:afterAutospacing="1"/>
        <w:jc w:val="right"/>
        <w:rPr>
          <w:b/>
          <w:sz w:val="18"/>
          <w:szCs w:val="18"/>
        </w:rPr>
      </w:pPr>
      <w:r w:rsidRPr="00265A9E">
        <w:rPr>
          <w:b/>
          <w:sz w:val="18"/>
          <w:szCs w:val="18"/>
        </w:rPr>
        <w:t>EK-</w:t>
      </w:r>
      <w:r w:rsidR="008C6B32" w:rsidRPr="00265A9E">
        <w:rPr>
          <w:b/>
          <w:sz w:val="18"/>
          <w:szCs w:val="18"/>
        </w:rPr>
        <w:t>2/D-1</w:t>
      </w:r>
    </w:p>
    <w:p w:rsidR="00972036" w:rsidRPr="00265A9E" w:rsidRDefault="00A657F4" w:rsidP="00972036">
      <w:pPr>
        <w:spacing w:before="100" w:beforeAutospacing="1" w:after="100" w:afterAutospacing="1"/>
        <w:jc w:val="center"/>
        <w:rPr>
          <w:b/>
          <w:sz w:val="18"/>
          <w:szCs w:val="18"/>
        </w:rPr>
      </w:pPr>
      <w:r w:rsidRPr="00265A9E">
        <w:rPr>
          <w:b/>
          <w:sz w:val="18"/>
          <w:szCs w:val="18"/>
        </w:rPr>
        <w:t xml:space="preserve">POZİTRON EMİSYON TOMOGRAFİ (PET) GÖRÜNTÜLEME </w:t>
      </w:r>
      <w:r w:rsidR="005D13D7" w:rsidRPr="00265A9E">
        <w:rPr>
          <w:b/>
          <w:sz w:val="18"/>
          <w:szCs w:val="18"/>
        </w:rPr>
        <w:t xml:space="preserve">KLİNİK </w:t>
      </w:r>
      <w:r w:rsidR="00810446" w:rsidRPr="00265A9E">
        <w:rPr>
          <w:b/>
          <w:sz w:val="18"/>
          <w:szCs w:val="18"/>
        </w:rPr>
        <w:t>UYGULAMALARI</w:t>
      </w:r>
    </w:p>
    <w:p w:rsidR="00C5026F" w:rsidRPr="00265A9E" w:rsidRDefault="00C5026F" w:rsidP="00972036">
      <w:pPr>
        <w:spacing w:before="100" w:beforeAutospacing="1" w:after="100" w:afterAutospacing="1"/>
        <w:jc w:val="center"/>
        <w:rPr>
          <w:b/>
          <w:sz w:val="18"/>
          <w:szCs w:val="18"/>
        </w:rPr>
      </w:pPr>
    </w:p>
    <w:p w:rsidR="005A5B9A" w:rsidRPr="00265A9E" w:rsidRDefault="005A5B9A" w:rsidP="0079595F">
      <w:pPr>
        <w:numPr>
          <w:ilvl w:val="0"/>
          <w:numId w:val="40"/>
        </w:numPr>
        <w:spacing w:before="100" w:beforeAutospacing="1" w:after="100" w:afterAutospacing="1"/>
        <w:ind w:left="284" w:firstLine="76"/>
        <w:jc w:val="center"/>
        <w:rPr>
          <w:b/>
          <w:sz w:val="18"/>
          <w:szCs w:val="18"/>
        </w:rPr>
      </w:pPr>
      <w:r w:rsidRPr="00265A9E">
        <w:rPr>
          <w:b/>
          <w:sz w:val="18"/>
          <w:szCs w:val="18"/>
        </w:rPr>
        <w:t>ONKOLOJİK TÜM VÜCUT F-18 FDG PET (SUT KODU 801.440)</w:t>
      </w:r>
    </w:p>
    <w:p w:rsidR="003A4081" w:rsidRPr="00265A9E" w:rsidRDefault="003A4081" w:rsidP="00265A9E">
      <w:pPr>
        <w:ind w:firstLine="709"/>
        <w:jc w:val="both"/>
        <w:rPr>
          <w:strike/>
          <w:sz w:val="18"/>
          <w:szCs w:val="18"/>
        </w:rPr>
      </w:pPr>
      <w:r w:rsidRPr="00265A9E">
        <w:rPr>
          <w:bCs/>
          <w:sz w:val="18"/>
          <w:szCs w:val="18"/>
        </w:rPr>
        <w:t>Bu bölüm pozitron yayıcı radyoizotoplar kullanılarak PET, kombine PET/BT veya kombine PET/MR tarayıcı kameralarda yapılan tanısal görüntüleme işlemlerini kapsar.</w:t>
      </w:r>
    </w:p>
    <w:p w:rsidR="005D0F85" w:rsidRPr="00265A9E" w:rsidRDefault="00DF2B64" w:rsidP="00A93409">
      <w:pPr>
        <w:jc w:val="both"/>
        <w:rPr>
          <w:sz w:val="18"/>
          <w:szCs w:val="18"/>
        </w:rPr>
      </w:pPr>
      <w:r w:rsidRPr="00265A9E">
        <w:rPr>
          <w:sz w:val="18"/>
          <w:szCs w:val="18"/>
        </w:rPr>
        <w:tab/>
      </w:r>
      <w:r w:rsidR="00660061" w:rsidRPr="00265A9E">
        <w:rPr>
          <w:sz w:val="18"/>
          <w:szCs w:val="18"/>
        </w:rPr>
        <w:t>801.</w:t>
      </w:r>
      <w:r w:rsidR="00E91179" w:rsidRPr="00265A9E">
        <w:rPr>
          <w:sz w:val="18"/>
          <w:szCs w:val="18"/>
        </w:rPr>
        <w:t xml:space="preserve">440 </w:t>
      </w:r>
      <w:r w:rsidR="008B408F" w:rsidRPr="00265A9E">
        <w:rPr>
          <w:sz w:val="18"/>
          <w:szCs w:val="18"/>
        </w:rPr>
        <w:t>kodlu “</w:t>
      </w:r>
      <w:r w:rsidR="00366A55" w:rsidRPr="00265A9E">
        <w:rPr>
          <w:sz w:val="18"/>
          <w:szCs w:val="18"/>
        </w:rPr>
        <w:t xml:space="preserve">Tüm vücut </w:t>
      </w:r>
      <w:r w:rsidR="00C52CD0" w:rsidRPr="00265A9E">
        <w:rPr>
          <w:sz w:val="18"/>
          <w:szCs w:val="18"/>
        </w:rPr>
        <w:t>F–18</w:t>
      </w:r>
      <w:r w:rsidR="00E91179" w:rsidRPr="00265A9E">
        <w:rPr>
          <w:sz w:val="18"/>
          <w:szCs w:val="18"/>
        </w:rPr>
        <w:t xml:space="preserve"> FDG-PET</w:t>
      </w:r>
      <w:r w:rsidR="008B408F" w:rsidRPr="00265A9E">
        <w:rPr>
          <w:sz w:val="18"/>
          <w:szCs w:val="18"/>
        </w:rPr>
        <w:t xml:space="preserve">” </w:t>
      </w:r>
      <w:r w:rsidR="00F42DAD" w:rsidRPr="00265A9E">
        <w:rPr>
          <w:sz w:val="18"/>
          <w:szCs w:val="18"/>
        </w:rPr>
        <w:t>in</w:t>
      </w:r>
      <w:r w:rsidR="00772B30" w:rsidRPr="00265A9E">
        <w:rPr>
          <w:sz w:val="18"/>
          <w:szCs w:val="18"/>
        </w:rPr>
        <w:t xml:space="preserve"> </w:t>
      </w:r>
      <w:r w:rsidR="008B408F" w:rsidRPr="00265A9E">
        <w:rPr>
          <w:sz w:val="18"/>
          <w:szCs w:val="18"/>
        </w:rPr>
        <w:t>T</w:t>
      </w:r>
      <w:r w:rsidR="00942C1D" w:rsidRPr="00265A9E">
        <w:rPr>
          <w:sz w:val="18"/>
          <w:szCs w:val="18"/>
        </w:rPr>
        <w:t xml:space="preserve">ablo 1’de </w:t>
      </w:r>
      <w:r w:rsidR="00AC67A0" w:rsidRPr="00265A9E">
        <w:rPr>
          <w:sz w:val="18"/>
          <w:szCs w:val="18"/>
        </w:rPr>
        <w:t>belirtilen” Onkolojik</w:t>
      </w:r>
      <w:r w:rsidR="00E91179" w:rsidRPr="00265A9E">
        <w:rPr>
          <w:sz w:val="18"/>
          <w:szCs w:val="18"/>
        </w:rPr>
        <w:t xml:space="preserve"> amaçlı </w:t>
      </w:r>
      <w:r w:rsidR="008B408F" w:rsidRPr="00265A9E">
        <w:rPr>
          <w:sz w:val="18"/>
          <w:szCs w:val="18"/>
        </w:rPr>
        <w:t>tüm vücut</w:t>
      </w:r>
      <w:r w:rsidR="00904312" w:rsidRPr="00265A9E">
        <w:rPr>
          <w:sz w:val="18"/>
          <w:szCs w:val="18"/>
        </w:rPr>
        <w:t xml:space="preserve"> </w:t>
      </w:r>
      <w:r w:rsidR="00C52CD0" w:rsidRPr="00265A9E">
        <w:rPr>
          <w:sz w:val="18"/>
          <w:szCs w:val="18"/>
        </w:rPr>
        <w:t>F–18</w:t>
      </w:r>
      <w:r w:rsidR="008B408F" w:rsidRPr="00265A9E">
        <w:rPr>
          <w:sz w:val="18"/>
          <w:szCs w:val="18"/>
        </w:rPr>
        <w:t xml:space="preserve"> </w:t>
      </w:r>
      <w:r w:rsidR="00E91179" w:rsidRPr="00265A9E">
        <w:rPr>
          <w:sz w:val="18"/>
          <w:szCs w:val="18"/>
        </w:rPr>
        <w:t xml:space="preserve">FDG-PET </w:t>
      </w:r>
      <w:proofErr w:type="spellStart"/>
      <w:r w:rsidR="00772B30" w:rsidRPr="00265A9E">
        <w:rPr>
          <w:sz w:val="18"/>
          <w:szCs w:val="18"/>
        </w:rPr>
        <w:t>endikasyonlar</w:t>
      </w:r>
      <w:r w:rsidR="00904312" w:rsidRPr="00265A9E">
        <w:rPr>
          <w:sz w:val="18"/>
          <w:szCs w:val="18"/>
        </w:rPr>
        <w:t>ı</w:t>
      </w:r>
      <w:proofErr w:type="spellEnd"/>
      <w:r w:rsidR="00772B30" w:rsidRPr="00265A9E">
        <w:rPr>
          <w:sz w:val="18"/>
          <w:szCs w:val="18"/>
        </w:rPr>
        <w:t>”</w:t>
      </w:r>
      <w:r w:rsidR="00A657F4" w:rsidRPr="00265A9E">
        <w:rPr>
          <w:sz w:val="18"/>
          <w:szCs w:val="18"/>
        </w:rPr>
        <w:t xml:space="preserve"> </w:t>
      </w:r>
      <w:r w:rsidR="007D1F4A" w:rsidRPr="00265A9E">
        <w:rPr>
          <w:sz w:val="18"/>
          <w:szCs w:val="18"/>
        </w:rPr>
        <w:t>kapsamında</w:t>
      </w:r>
      <w:r w:rsidR="00942C1D" w:rsidRPr="00265A9E">
        <w:rPr>
          <w:sz w:val="18"/>
          <w:szCs w:val="18"/>
        </w:rPr>
        <w:t xml:space="preserve"> </w:t>
      </w:r>
      <w:r w:rsidR="00A93409" w:rsidRPr="00265A9E">
        <w:rPr>
          <w:sz w:val="18"/>
          <w:szCs w:val="18"/>
        </w:rPr>
        <w:t xml:space="preserve">bedelinin ödenebilmesi </w:t>
      </w:r>
      <w:r w:rsidR="00A657F4" w:rsidRPr="00265A9E">
        <w:rPr>
          <w:sz w:val="18"/>
          <w:szCs w:val="18"/>
        </w:rPr>
        <w:t xml:space="preserve">için aşağıdaki tanım ve şartlara uygun biçimde </w:t>
      </w:r>
      <w:r w:rsidR="00B96319" w:rsidRPr="00265A9E">
        <w:rPr>
          <w:sz w:val="18"/>
          <w:szCs w:val="18"/>
        </w:rPr>
        <w:t>isten</w:t>
      </w:r>
      <w:r w:rsidR="00A93409" w:rsidRPr="00265A9E">
        <w:rPr>
          <w:sz w:val="18"/>
          <w:szCs w:val="18"/>
        </w:rPr>
        <w:t>il</w:t>
      </w:r>
      <w:r w:rsidR="00B96319" w:rsidRPr="00265A9E">
        <w:rPr>
          <w:sz w:val="18"/>
          <w:szCs w:val="18"/>
        </w:rPr>
        <w:t xml:space="preserve">mesi ve yapılması </w:t>
      </w:r>
      <w:r w:rsidR="00A657F4" w:rsidRPr="00265A9E">
        <w:rPr>
          <w:sz w:val="18"/>
          <w:szCs w:val="18"/>
        </w:rPr>
        <w:t>gereklidir</w:t>
      </w:r>
      <w:r w:rsidR="00DD37B0" w:rsidRPr="00265A9E">
        <w:rPr>
          <w:sz w:val="18"/>
          <w:szCs w:val="18"/>
        </w:rPr>
        <w:t xml:space="preserve">. </w:t>
      </w:r>
    </w:p>
    <w:p w:rsidR="001D6C39" w:rsidRPr="00265A9E" w:rsidRDefault="001D6C39" w:rsidP="00A93409">
      <w:pPr>
        <w:jc w:val="both"/>
        <w:rPr>
          <w:sz w:val="18"/>
          <w:szCs w:val="18"/>
        </w:rPr>
      </w:pPr>
    </w:p>
    <w:p w:rsidR="005D0F85" w:rsidRPr="00265A9E" w:rsidRDefault="00DD37B0" w:rsidP="00265A9E">
      <w:pPr>
        <w:numPr>
          <w:ilvl w:val="0"/>
          <w:numId w:val="38"/>
        </w:numPr>
        <w:tabs>
          <w:tab w:val="left" w:pos="993"/>
        </w:tabs>
        <w:ind w:left="0" w:firstLine="709"/>
        <w:jc w:val="both"/>
        <w:rPr>
          <w:b/>
          <w:sz w:val="18"/>
          <w:szCs w:val="18"/>
          <w:u w:val="single"/>
        </w:rPr>
      </w:pPr>
      <w:r w:rsidRPr="00265A9E">
        <w:rPr>
          <w:b/>
          <w:sz w:val="18"/>
          <w:szCs w:val="18"/>
          <w:u w:val="single"/>
        </w:rPr>
        <w:t xml:space="preserve">Klinik </w:t>
      </w:r>
      <w:proofErr w:type="spellStart"/>
      <w:r w:rsidRPr="00265A9E">
        <w:rPr>
          <w:b/>
          <w:sz w:val="18"/>
          <w:szCs w:val="18"/>
          <w:u w:val="single"/>
        </w:rPr>
        <w:t>endikasyonlar</w:t>
      </w:r>
      <w:proofErr w:type="spellEnd"/>
      <w:r w:rsidRPr="00265A9E">
        <w:rPr>
          <w:b/>
          <w:sz w:val="18"/>
          <w:szCs w:val="18"/>
          <w:u w:val="single"/>
        </w:rPr>
        <w:t xml:space="preserve"> ile ilgili şartlar:</w:t>
      </w:r>
    </w:p>
    <w:p w:rsidR="005D0F85" w:rsidRPr="00265A9E" w:rsidRDefault="008B408F" w:rsidP="00265A9E">
      <w:pPr>
        <w:numPr>
          <w:ilvl w:val="1"/>
          <w:numId w:val="38"/>
        </w:numPr>
        <w:tabs>
          <w:tab w:val="clear" w:pos="720"/>
          <w:tab w:val="num" w:pos="851"/>
          <w:tab w:val="left" w:pos="993"/>
        </w:tabs>
        <w:ind w:left="0" w:firstLine="709"/>
        <w:jc w:val="both"/>
        <w:rPr>
          <w:sz w:val="18"/>
          <w:szCs w:val="18"/>
        </w:rPr>
      </w:pPr>
      <w:r w:rsidRPr="00265A9E">
        <w:rPr>
          <w:sz w:val="18"/>
          <w:szCs w:val="18"/>
        </w:rPr>
        <w:t>T</w:t>
      </w:r>
      <w:r w:rsidR="00A657F4" w:rsidRPr="00265A9E">
        <w:rPr>
          <w:sz w:val="18"/>
          <w:szCs w:val="18"/>
        </w:rPr>
        <w:t>anı ama</w:t>
      </w:r>
      <w:r w:rsidRPr="00265A9E">
        <w:rPr>
          <w:sz w:val="18"/>
          <w:szCs w:val="18"/>
        </w:rPr>
        <w:t xml:space="preserve">çlı </w:t>
      </w:r>
      <w:r w:rsidR="00C52CD0" w:rsidRPr="00265A9E">
        <w:rPr>
          <w:sz w:val="18"/>
          <w:szCs w:val="18"/>
        </w:rPr>
        <w:t>F–18</w:t>
      </w:r>
      <w:r w:rsidR="008C233F" w:rsidRPr="00265A9E">
        <w:rPr>
          <w:sz w:val="18"/>
          <w:szCs w:val="18"/>
        </w:rPr>
        <w:t xml:space="preserve"> FDG </w:t>
      </w:r>
      <w:r w:rsidR="00A657F4" w:rsidRPr="00265A9E">
        <w:rPr>
          <w:sz w:val="18"/>
          <w:szCs w:val="18"/>
        </w:rPr>
        <w:t>PET</w:t>
      </w:r>
      <w:r w:rsidRPr="00265A9E">
        <w:rPr>
          <w:sz w:val="18"/>
          <w:szCs w:val="18"/>
        </w:rPr>
        <w:t xml:space="preserve"> </w:t>
      </w:r>
      <w:r w:rsidR="008C233F" w:rsidRPr="00265A9E">
        <w:rPr>
          <w:sz w:val="18"/>
          <w:szCs w:val="18"/>
        </w:rPr>
        <w:t xml:space="preserve">(PET) </w:t>
      </w:r>
      <w:r w:rsidRPr="00265A9E">
        <w:rPr>
          <w:sz w:val="18"/>
          <w:szCs w:val="18"/>
        </w:rPr>
        <w:t>çalışmaları</w:t>
      </w:r>
      <w:r w:rsidR="00A657F4" w:rsidRPr="00265A9E">
        <w:rPr>
          <w:sz w:val="18"/>
          <w:szCs w:val="18"/>
        </w:rPr>
        <w:t xml:space="preserve"> </w:t>
      </w:r>
      <w:r w:rsidRPr="00265A9E">
        <w:rPr>
          <w:sz w:val="18"/>
          <w:szCs w:val="18"/>
        </w:rPr>
        <w:t xml:space="preserve">genellikle </w:t>
      </w:r>
      <w:r w:rsidR="00A657F4" w:rsidRPr="00265A9E">
        <w:rPr>
          <w:sz w:val="18"/>
          <w:szCs w:val="18"/>
        </w:rPr>
        <w:t xml:space="preserve">diğer yöntemlerle tespit edilen </w:t>
      </w:r>
      <w:proofErr w:type="spellStart"/>
      <w:r w:rsidR="00A657F4" w:rsidRPr="00265A9E">
        <w:rPr>
          <w:sz w:val="18"/>
          <w:szCs w:val="18"/>
        </w:rPr>
        <w:t>malignite</w:t>
      </w:r>
      <w:proofErr w:type="spellEnd"/>
      <w:r w:rsidR="00A657F4" w:rsidRPr="00265A9E">
        <w:rPr>
          <w:sz w:val="18"/>
          <w:szCs w:val="18"/>
        </w:rPr>
        <w:t xml:space="preserve"> şüpheli kitlelerde (</w:t>
      </w:r>
      <w:proofErr w:type="spellStart"/>
      <w:r w:rsidR="00A657F4" w:rsidRPr="00265A9E">
        <w:rPr>
          <w:sz w:val="18"/>
          <w:szCs w:val="18"/>
        </w:rPr>
        <w:t>soliter</w:t>
      </w:r>
      <w:proofErr w:type="spellEnd"/>
      <w:r w:rsidR="00A657F4" w:rsidRPr="00265A9E">
        <w:rPr>
          <w:sz w:val="18"/>
          <w:szCs w:val="18"/>
        </w:rPr>
        <w:t xml:space="preserve"> </w:t>
      </w:r>
      <w:proofErr w:type="spellStart"/>
      <w:r w:rsidR="00A657F4" w:rsidRPr="00265A9E">
        <w:rPr>
          <w:sz w:val="18"/>
          <w:szCs w:val="18"/>
        </w:rPr>
        <w:t>pulmoner</w:t>
      </w:r>
      <w:proofErr w:type="spellEnd"/>
      <w:r w:rsidR="00A657F4" w:rsidRPr="00265A9E">
        <w:rPr>
          <w:sz w:val="18"/>
          <w:szCs w:val="18"/>
        </w:rPr>
        <w:t xml:space="preserve"> nodül gibi) </w:t>
      </w:r>
      <w:proofErr w:type="spellStart"/>
      <w:r w:rsidR="00A657F4" w:rsidRPr="00265A9E">
        <w:rPr>
          <w:sz w:val="18"/>
          <w:szCs w:val="18"/>
        </w:rPr>
        <w:t>metabolik</w:t>
      </w:r>
      <w:proofErr w:type="spellEnd"/>
      <w:r w:rsidR="00A657F4" w:rsidRPr="00265A9E">
        <w:rPr>
          <w:sz w:val="18"/>
          <w:szCs w:val="18"/>
        </w:rPr>
        <w:t xml:space="preserve"> </w:t>
      </w:r>
      <w:proofErr w:type="spellStart"/>
      <w:r w:rsidR="00A657F4" w:rsidRPr="00265A9E">
        <w:rPr>
          <w:sz w:val="18"/>
          <w:szCs w:val="18"/>
        </w:rPr>
        <w:t>karakterizasyon</w:t>
      </w:r>
      <w:proofErr w:type="spellEnd"/>
      <w:r w:rsidR="00A657F4" w:rsidRPr="00265A9E">
        <w:rPr>
          <w:sz w:val="18"/>
          <w:szCs w:val="18"/>
        </w:rPr>
        <w:t xml:space="preserve"> amacıyla kullanılır. Bu tür </w:t>
      </w:r>
      <w:proofErr w:type="spellStart"/>
      <w:r w:rsidR="00A657F4" w:rsidRPr="00265A9E">
        <w:rPr>
          <w:sz w:val="18"/>
          <w:szCs w:val="18"/>
        </w:rPr>
        <w:t>endikasyonlarda</w:t>
      </w:r>
      <w:proofErr w:type="spellEnd"/>
      <w:r w:rsidR="00A657F4" w:rsidRPr="00265A9E">
        <w:rPr>
          <w:sz w:val="18"/>
          <w:szCs w:val="18"/>
        </w:rPr>
        <w:t xml:space="preserve"> PET sonuçlarının </w:t>
      </w:r>
      <w:proofErr w:type="spellStart"/>
      <w:r w:rsidR="00A657F4" w:rsidRPr="00265A9E">
        <w:rPr>
          <w:sz w:val="18"/>
          <w:szCs w:val="18"/>
        </w:rPr>
        <w:t>invaziv</w:t>
      </w:r>
      <w:proofErr w:type="spellEnd"/>
      <w:r w:rsidR="00A657F4" w:rsidRPr="00265A9E">
        <w:rPr>
          <w:sz w:val="18"/>
          <w:szCs w:val="18"/>
        </w:rPr>
        <w:t xml:space="preserve"> bir tanısal işlemin yapılmasını önlemeye yardımcı olması</w:t>
      </w:r>
      <w:r w:rsidRPr="00265A9E">
        <w:rPr>
          <w:sz w:val="18"/>
          <w:szCs w:val="18"/>
        </w:rPr>
        <w:t xml:space="preserve"> esası aranır</w:t>
      </w:r>
      <w:r w:rsidR="00A657F4" w:rsidRPr="00265A9E">
        <w:rPr>
          <w:sz w:val="18"/>
          <w:szCs w:val="18"/>
        </w:rPr>
        <w:t xml:space="preserve">. Ya da PET sonuçlarının </w:t>
      </w:r>
      <w:proofErr w:type="spellStart"/>
      <w:r w:rsidR="00A657F4" w:rsidRPr="00265A9E">
        <w:rPr>
          <w:sz w:val="18"/>
          <w:szCs w:val="18"/>
        </w:rPr>
        <w:t>invaziv</w:t>
      </w:r>
      <w:proofErr w:type="spellEnd"/>
      <w:r w:rsidR="00A657F4" w:rsidRPr="00265A9E">
        <w:rPr>
          <w:sz w:val="18"/>
          <w:szCs w:val="18"/>
        </w:rPr>
        <w:t xml:space="preserve"> tanısal bir işlem için yol gösterici olması (örneğin heterojen ve büyük kitlelerde ya da yeri belirlenemeyen tümörlerde biyopsi yerinin belirlenmesi) tanı amaçlı PET </w:t>
      </w:r>
      <w:r w:rsidRPr="00265A9E">
        <w:rPr>
          <w:sz w:val="18"/>
          <w:szCs w:val="18"/>
        </w:rPr>
        <w:t>kullanımı i</w:t>
      </w:r>
      <w:r w:rsidR="00A657F4" w:rsidRPr="00265A9E">
        <w:rPr>
          <w:sz w:val="18"/>
          <w:szCs w:val="18"/>
        </w:rPr>
        <w:t xml:space="preserve">çin gereklidir. Bunların dışındaki tanısal uygulamalarda ve özellikle kanser tarama amaçlı </w:t>
      </w:r>
      <w:r w:rsidRPr="00265A9E">
        <w:rPr>
          <w:sz w:val="18"/>
          <w:szCs w:val="18"/>
        </w:rPr>
        <w:t xml:space="preserve">PET </w:t>
      </w:r>
      <w:r w:rsidR="00A657F4" w:rsidRPr="00265A9E">
        <w:rPr>
          <w:sz w:val="18"/>
          <w:szCs w:val="18"/>
        </w:rPr>
        <w:t xml:space="preserve">kullanımı </w:t>
      </w:r>
      <w:r w:rsidR="00711912" w:rsidRPr="00265A9E">
        <w:rPr>
          <w:sz w:val="18"/>
          <w:szCs w:val="18"/>
        </w:rPr>
        <w:t xml:space="preserve">halinde bedelleri ödenmez. </w:t>
      </w:r>
      <w:r w:rsidR="00A657F4" w:rsidRPr="00265A9E">
        <w:rPr>
          <w:sz w:val="18"/>
          <w:szCs w:val="18"/>
        </w:rPr>
        <w:t xml:space="preserve">Kanser şüpheli kitlelerde </w:t>
      </w:r>
      <w:proofErr w:type="spellStart"/>
      <w:r w:rsidR="00A657F4" w:rsidRPr="00265A9E">
        <w:rPr>
          <w:sz w:val="18"/>
          <w:szCs w:val="18"/>
        </w:rPr>
        <w:t>metabolik</w:t>
      </w:r>
      <w:proofErr w:type="spellEnd"/>
      <w:r w:rsidR="00A657F4" w:rsidRPr="00265A9E">
        <w:rPr>
          <w:sz w:val="18"/>
          <w:szCs w:val="18"/>
        </w:rPr>
        <w:t xml:space="preserve"> </w:t>
      </w:r>
      <w:proofErr w:type="spellStart"/>
      <w:r w:rsidR="00A657F4" w:rsidRPr="00265A9E">
        <w:rPr>
          <w:sz w:val="18"/>
          <w:szCs w:val="18"/>
        </w:rPr>
        <w:t>karakterizasyon</w:t>
      </w:r>
      <w:proofErr w:type="spellEnd"/>
      <w:r w:rsidR="00A657F4" w:rsidRPr="00265A9E">
        <w:rPr>
          <w:sz w:val="18"/>
          <w:szCs w:val="18"/>
        </w:rPr>
        <w:t xml:space="preserve"> amaçlı PET çalışması yapılabilmesi için kitle boyutunun </w:t>
      </w:r>
      <w:r w:rsidR="009C274A" w:rsidRPr="00265A9E">
        <w:rPr>
          <w:sz w:val="18"/>
          <w:szCs w:val="18"/>
        </w:rPr>
        <w:t xml:space="preserve">(en uzun çap) </w:t>
      </w:r>
      <w:r w:rsidR="00A657F4" w:rsidRPr="00265A9E">
        <w:rPr>
          <w:sz w:val="18"/>
          <w:szCs w:val="18"/>
        </w:rPr>
        <w:t>asgari 1</w:t>
      </w:r>
      <w:r w:rsidR="00893CE2" w:rsidRPr="00265A9E">
        <w:rPr>
          <w:sz w:val="18"/>
          <w:szCs w:val="18"/>
        </w:rPr>
        <w:t xml:space="preserve">(bir) </w:t>
      </w:r>
      <w:r w:rsidR="00A657F4" w:rsidRPr="00265A9E">
        <w:rPr>
          <w:sz w:val="18"/>
          <w:szCs w:val="18"/>
        </w:rPr>
        <w:t>cm olma</w:t>
      </w:r>
      <w:r w:rsidR="009C274A" w:rsidRPr="00265A9E">
        <w:rPr>
          <w:sz w:val="18"/>
          <w:szCs w:val="18"/>
        </w:rPr>
        <w:t>sı gereklidir</w:t>
      </w:r>
      <w:r w:rsidR="00A657F4" w:rsidRPr="00265A9E">
        <w:rPr>
          <w:sz w:val="18"/>
          <w:szCs w:val="18"/>
        </w:rPr>
        <w:t>.</w:t>
      </w:r>
    </w:p>
    <w:p w:rsidR="005D0F85" w:rsidRPr="00265A9E" w:rsidRDefault="00A657F4" w:rsidP="00265A9E">
      <w:pPr>
        <w:numPr>
          <w:ilvl w:val="1"/>
          <w:numId w:val="38"/>
        </w:numPr>
        <w:tabs>
          <w:tab w:val="clear" w:pos="720"/>
          <w:tab w:val="num" w:pos="851"/>
          <w:tab w:val="left" w:pos="993"/>
        </w:tabs>
        <w:ind w:left="0" w:firstLine="709"/>
        <w:jc w:val="both"/>
        <w:rPr>
          <w:sz w:val="18"/>
          <w:szCs w:val="18"/>
        </w:rPr>
      </w:pPr>
      <w:proofErr w:type="spellStart"/>
      <w:r w:rsidRPr="00265A9E">
        <w:rPr>
          <w:sz w:val="18"/>
          <w:szCs w:val="18"/>
        </w:rPr>
        <w:t>Evreleme</w:t>
      </w:r>
      <w:proofErr w:type="spellEnd"/>
      <w:r w:rsidRPr="00265A9E">
        <w:rPr>
          <w:sz w:val="18"/>
          <w:szCs w:val="18"/>
        </w:rPr>
        <w:t xml:space="preserve">, kanser tanısı almış hastalarda hastalığın yaygınlığının belirlenmesini ifade eder. PET sadece </w:t>
      </w:r>
      <w:proofErr w:type="spellStart"/>
      <w:r w:rsidR="006E464F" w:rsidRPr="00265A9E">
        <w:rPr>
          <w:sz w:val="18"/>
          <w:szCs w:val="18"/>
        </w:rPr>
        <w:t>fl</w:t>
      </w:r>
      <w:r w:rsidR="009C274A" w:rsidRPr="00265A9E">
        <w:rPr>
          <w:sz w:val="18"/>
          <w:szCs w:val="18"/>
        </w:rPr>
        <w:t>u</w:t>
      </w:r>
      <w:r w:rsidR="006E464F" w:rsidRPr="00265A9E">
        <w:rPr>
          <w:sz w:val="18"/>
          <w:szCs w:val="18"/>
        </w:rPr>
        <w:t>orodeoksi</w:t>
      </w:r>
      <w:r w:rsidRPr="00265A9E">
        <w:rPr>
          <w:sz w:val="18"/>
          <w:szCs w:val="18"/>
        </w:rPr>
        <w:t>glukoz</w:t>
      </w:r>
      <w:proofErr w:type="spellEnd"/>
      <w:r w:rsidRPr="00265A9E">
        <w:rPr>
          <w:sz w:val="18"/>
          <w:szCs w:val="18"/>
        </w:rPr>
        <w:t xml:space="preserve"> (FDG) </w:t>
      </w:r>
      <w:proofErr w:type="spellStart"/>
      <w:r w:rsidRPr="00265A9E">
        <w:rPr>
          <w:sz w:val="18"/>
          <w:szCs w:val="18"/>
        </w:rPr>
        <w:t>afinitesi</w:t>
      </w:r>
      <w:proofErr w:type="spellEnd"/>
      <w:r w:rsidRPr="00265A9E">
        <w:rPr>
          <w:sz w:val="18"/>
          <w:szCs w:val="18"/>
        </w:rPr>
        <w:t xml:space="preserve"> yüksek kanserlerde</w:t>
      </w:r>
      <w:r w:rsidR="00934152" w:rsidRPr="00265A9E">
        <w:rPr>
          <w:sz w:val="18"/>
          <w:szCs w:val="18"/>
        </w:rPr>
        <w:t xml:space="preserve"> (T</w:t>
      </w:r>
      <w:r w:rsidR="00893CE2" w:rsidRPr="00265A9E">
        <w:rPr>
          <w:sz w:val="18"/>
          <w:szCs w:val="18"/>
        </w:rPr>
        <w:t>ablo 1</w:t>
      </w:r>
      <w:proofErr w:type="gramStart"/>
      <w:r w:rsidR="00893CE2" w:rsidRPr="00265A9E">
        <w:rPr>
          <w:sz w:val="18"/>
          <w:szCs w:val="18"/>
        </w:rPr>
        <w:t xml:space="preserve">) </w:t>
      </w:r>
      <w:r w:rsidRPr="00265A9E">
        <w:rPr>
          <w:sz w:val="18"/>
          <w:szCs w:val="18"/>
        </w:rPr>
        <w:t xml:space="preserve"> </w:t>
      </w:r>
      <w:proofErr w:type="spellStart"/>
      <w:r w:rsidRPr="00265A9E">
        <w:rPr>
          <w:sz w:val="18"/>
          <w:szCs w:val="18"/>
        </w:rPr>
        <w:t>evreleme</w:t>
      </w:r>
      <w:proofErr w:type="spellEnd"/>
      <w:proofErr w:type="gramEnd"/>
      <w:r w:rsidRPr="00265A9E">
        <w:rPr>
          <w:sz w:val="18"/>
          <w:szCs w:val="18"/>
        </w:rPr>
        <w:t xml:space="preserve"> amacıyla kullanılabilir. </w:t>
      </w:r>
      <w:proofErr w:type="spellStart"/>
      <w:r w:rsidRPr="00265A9E">
        <w:rPr>
          <w:sz w:val="18"/>
          <w:szCs w:val="18"/>
        </w:rPr>
        <w:t>Evreleme</w:t>
      </w:r>
      <w:proofErr w:type="spellEnd"/>
      <w:r w:rsidRPr="00265A9E">
        <w:rPr>
          <w:sz w:val="18"/>
          <w:szCs w:val="18"/>
        </w:rPr>
        <w:t xml:space="preserve"> amaçlı PET yapılması için hastada </w:t>
      </w:r>
      <w:r w:rsidR="00893CE2" w:rsidRPr="00265A9E">
        <w:rPr>
          <w:sz w:val="18"/>
          <w:szCs w:val="18"/>
        </w:rPr>
        <w:t>kemoterapi</w:t>
      </w:r>
      <w:r w:rsidRPr="00265A9E">
        <w:rPr>
          <w:sz w:val="18"/>
          <w:szCs w:val="18"/>
        </w:rPr>
        <w:t xml:space="preserve"> </w:t>
      </w:r>
      <w:r w:rsidR="00893CE2" w:rsidRPr="00265A9E">
        <w:rPr>
          <w:sz w:val="18"/>
          <w:szCs w:val="18"/>
        </w:rPr>
        <w:t xml:space="preserve">(KT) </w:t>
      </w:r>
      <w:r w:rsidRPr="00265A9E">
        <w:rPr>
          <w:sz w:val="18"/>
          <w:szCs w:val="18"/>
        </w:rPr>
        <w:t>ve</w:t>
      </w:r>
      <w:r w:rsidR="00893CE2" w:rsidRPr="00265A9E">
        <w:rPr>
          <w:sz w:val="18"/>
          <w:szCs w:val="18"/>
        </w:rPr>
        <w:t>/veya</w:t>
      </w:r>
      <w:r w:rsidRPr="00265A9E">
        <w:rPr>
          <w:sz w:val="18"/>
          <w:szCs w:val="18"/>
        </w:rPr>
        <w:t xml:space="preserve"> </w:t>
      </w:r>
      <w:r w:rsidR="00893CE2" w:rsidRPr="00265A9E">
        <w:rPr>
          <w:sz w:val="18"/>
          <w:szCs w:val="18"/>
        </w:rPr>
        <w:t>radyoterapi (</w:t>
      </w:r>
      <w:r w:rsidR="00265A9E" w:rsidRPr="00265A9E">
        <w:rPr>
          <w:sz w:val="18"/>
          <w:szCs w:val="18"/>
        </w:rPr>
        <w:t>RT) tedavilerine</w:t>
      </w:r>
      <w:r w:rsidRPr="00265A9E">
        <w:rPr>
          <w:sz w:val="18"/>
          <w:szCs w:val="18"/>
        </w:rPr>
        <w:t xml:space="preserve"> başlanmamış olması şartı aranır. </w:t>
      </w:r>
      <w:proofErr w:type="spellStart"/>
      <w:r w:rsidRPr="00265A9E">
        <w:rPr>
          <w:sz w:val="18"/>
          <w:szCs w:val="18"/>
        </w:rPr>
        <w:t>Evreleme</w:t>
      </w:r>
      <w:proofErr w:type="spellEnd"/>
      <w:r w:rsidRPr="00265A9E">
        <w:rPr>
          <w:sz w:val="18"/>
          <w:szCs w:val="18"/>
        </w:rPr>
        <w:t xml:space="preserve"> amaçlı PET </w:t>
      </w:r>
      <w:proofErr w:type="spellStart"/>
      <w:r w:rsidRPr="00265A9E">
        <w:rPr>
          <w:sz w:val="18"/>
          <w:szCs w:val="18"/>
        </w:rPr>
        <w:t>endikasyonu</w:t>
      </w:r>
      <w:proofErr w:type="spellEnd"/>
      <w:r w:rsidRPr="00265A9E">
        <w:rPr>
          <w:sz w:val="18"/>
          <w:szCs w:val="18"/>
        </w:rPr>
        <w:t xml:space="preserve"> olan </w:t>
      </w:r>
      <w:r w:rsidR="009C274A" w:rsidRPr="00265A9E">
        <w:rPr>
          <w:sz w:val="18"/>
          <w:szCs w:val="18"/>
        </w:rPr>
        <w:t xml:space="preserve">ve RT uygulanması düşünülen </w:t>
      </w:r>
      <w:r w:rsidRPr="00265A9E">
        <w:rPr>
          <w:sz w:val="18"/>
          <w:szCs w:val="18"/>
        </w:rPr>
        <w:t xml:space="preserve">tüm tümörlerde aynı zamanda RT planlama </w:t>
      </w:r>
      <w:proofErr w:type="spellStart"/>
      <w:r w:rsidRPr="00265A9E">
        <w:rPr>
          <w:sz w:val="18"/>
          <w:szCs w:val="18"/>
        </w:rPr>
        <w:t>endikasyonu</w:t>
      </w:r>
      <w:proofErr w:type="spellEnd"/>
      <w:r w:rsidRPr="00265A9E">
        <w:rPr>
          <w:sz w:val="18"/>
          <w:szCs w:val="18"/>
        </w:rPr>
        <w:t xml:space="preserve"> ile de PET uygulanabilir. Ancak RT planlama amaçlı PET uygulamalarının kombine PET/BT tarayıcılarda yapılması şartı aranır. </w:t>
      </w:r>
    </w:p>
    <w:p w:rsidR="005D0F85" w:rsidRPr="00265A9E" w:rsidRDefault="00A657F4" w:rsidP="00265A9E">
      <w:pPr>
        <w:numPr>
          <w:ilvl w:val="1"/>
          <w:numId w:val="38"/>
        </w:numPr>
        <w:tabs>
          <w:tab w:val="clear" w:pos="720"/>
          <w:tab w:val="num" w:pos="851"/>
          <w:tab w:val="left" w:pos="993"/>
        </w:tabs>
        <w:ind w:left="0" w:firstLine="709"/>
        <w:jc w:val="both"/>
        <w:rPr>
          <w:sz w:val="18"/>
          <w:szCs w:val="18"/>
        </w:rPr>
      </w:pPr>
      <w:r w:rsidRPr="00265A9E">
        <w:rPr>
          <w:sz w:val="18"/>
          <w:szCs w:val="18"/>
        </w:rPr>
        <w:t xml:space="preserve">Yeniden </w:t>
      </w:r>
      <w:proofErr w:type="spellStart"/>
      <w:r w:rsidRPr="00265A9E">
        <w:rPr>
          <w:sz w:val="18"/>
          <w:szCs w:val="18"/>
        </w:rPr>
        <w:t>evreleme</w:t>
      </w:r>
      <w:proofErr w:type="spellEnd"/>
      <w:r w:rsidRPr="00265A9E">
        <w:rPr>
          <w:sz w:val="18"/>
          <w:szCs w:val="18"/>
        </w:rPr>
        <w:t xml:space="preserve">, kanserin ilk tedaviden sonraki takip aşamasında herhangi bir </w:t>
      </w:r>
      <w:proofErr w:type="spellStart"/>
      <w:r w:rsidRPr="00265A9E">
        <w:rPr>
          <w:sz w:val="18"/>
          <w:szCs w:val="18"/>
        </w:rPr>
        <w:t>nüks</w:t>
      </w:r>
      <w:proofErr w:type="spellEnd"/>
      <w:r w:rsidRPr="00265A9E">
        <w:rPr>
          <w:sz w:val="18"/>
          <w:szCs w:val="18"/>
        </w:rPr>
        <w:t xml:space="preserve"> (</w:t>
      </w:r>
      <w:proofErr w:type="spellStart"/>
      <w:r w:rsidRPr="00265A9E">
        <w:rPr>
          <w:sz w:val="18"/>
          <w:szCs w:val="18"/>
        </w:rPr>
        <w:t>rekürrens</w:t>
      </w:r>
      <w:proofErr w:type="spellEnd"/>
      <w:r w:rsidRPr="00265A9E">
        <w:rPr>
          <w:sz w:val="18"/>
          <w:szCs w:val="18"/>
        </w:rPr>
        <w:t xml:space="preserve">) saptanması veya </w:t>
      </w:r>
      <w:proofErr w:type="spellStart"/>
      <w:r w:rsidRPr="00265A9E">
        <w:rPr>
          <w:sz w:val="18"/>
          <w:szCs w:val="18"/>
        </w:rPr>
        <w:t>rekürrens</w:t>
      </w:r>
      <w:proofErr w:type="spellEnd"/>
      <w:r w:rsidRPr="00265A9E">
        <w:rPr>
          <w:sz w:val="18"/>
          <w:szCs w:val="18"/>
        </w:rPr>
        <w:t xml:space="preserve"> lehine bulgular olması durumunda başka metastazların olup olmadığını araştırmaya ya da hastalığın yaygınlığını göstermeye yönelik bir ifadedir. Histolojik olarak kanıtlanmış </w:t>
      </w:r>
      <w:proofErr w:type="spellStart"/>
      <w:r w:rsidRPr="00265A9E">
        <w:rPr>
          <w:sz w:val="18"/>
          <w:szCs w:val="18"/>
        </w:rPr>
        <w:t>rekürrens</w:t>
      </w:r>
      <w:proofErr w:type="spellEnd"/>
      <w:r w:rsidRPr="00265A9E">
        <w:rPr>
          <w:sz w:val="18"/>
          <w:szCs w:val="18"/>
        </w:rPr>
        <w:t xml:space="preserve"> tanısı olmadan PET ile yeniden </w:t>
      </w:r>
      <w:proofErr w:type="spellStart"/>
      <w:r w:rsidRPr="00265A9E">
        <w:rPr>
          <w:sz w:val="18"/>
          <w:szCs w:val="18"/>
        </w:rPr>
        <w:t>evreleme</w:t>
      </w:r>
      <w:proofErr w:type="spellEnd"/>
      <w:r w:rsidRPr="00265A9E">
        <w:rPr>
          <w:sz w:val="18"/>
          <w:szCs w:val="18"/>
        </w:rPr>
        <w:t xml:space="preserve"> yapmak için </w:t>
      </w:r>
      <w:r w:rsidR="009C274A" w:rsidRPr="00265A9E">
        <w:rPr>
          <w:sz w:val="18"/>
          <w:szCs w:val="18"/>
        </w:rPr>
        <w:t>ya d</w:t>
      </w:r>
      <w:r w:rsidRPr="00265A9E">
        <w:rPr>
          <w:sz w:val="18"/>
          <w:szCs w:val="18"/>
        </w:rPr>
        <w:t>iğe</w:t>
      </w:r>
      <w:r w:rsidR="00934152" w:rsidRPr="00265A9E">
        <w:rPr>
          <w:sz w:val="18"/>
          <w:szCs w:val="18"/>
        </w:rPr>
        <w:t>r</w:t>
      </w:r>
      <w:r w:rsidR="00A96699" w:rsidRPr="00265A9E">
        <w:rPr>
          <w:sz w:val="18"/>
          <w:szCs w:val="18"/>
        </w:rPr>
        <w:t xml:space="preserve"> görüntüleme yöntemleri ile </w:t>
      </w:r>
      <w:proofErr w:type="spellStart"/>
      <w:r w:rsidR="00A96699" w:rsidRPr="00265A9E">
        <w:rPr>
          <w:sz w:val="18"/>
          <w:szCs w:val="18"/>
        </w:rPr>
        <w:t>rekü</w:t>
      </w:r>
      <w:r w:rsidR="00934152" w:rsidRPr="00265A9E">
        <w:rPr>
          <w:sz w:val="18"/>
          <w:szCs w:val="18"/>
        </w:rPr>
        <w:t>rren</w:t>
      </w:r>
      <w:r w:rsidRPr="00265A9E">
        <w:rPr>
          <w:sz w:val="18"/>
          <w:szCs w:val="18"/>
        </w:rPr>
        <w:t>s</w:t>
      </w:r>
      <w:proofErr w:type="spellEnd"/>
      <w:r w:rsidRPr="00265A9E">
        <w:rPr>
          <w:sz w:val="18"/>
          <w:szCs w:val="18"/>
        </w:rPr>
        <w:t xml:space="preserve"> veya </w:t>
      </w:r>
      <w:proofErr w:type="spellStart"/>
      <w:r w:rsidRPr="00265A9E">
        <w:rPr>
          <w:sz w:val="18"/>
          <w:szCs w:val="18"/>
        </w:rPr>
        <w:t>rezidüel</w:t>
      </w:r>
      <w:proofErr w:type="spellEnd"/>
      <w:r w:rsidRPr="00265A9E">
        <w:rPr>
          <w:sz w:val="18"/>
          <w:szCs w:val="18"/>
        </w:rPr>
        <w:t xml:space="preserve"> kitle gösterilmesi, </w:t>
      </w:r>
      <w:r w:rsidR="009C274A" w:rsidRPr="00265A9E">
        <w:rPr>
          <w:sz w:val="18"/>
          <w:szCs w:val="18"/>
        </w:rPr>
        <w:t xml:space="preserve">ya da </w:t>
      </w:r>
      <w:r w:rsidRPr="00265A9E">
        <w:rPr>
          <w:sz w:val="18"/>
          <w:szCs w:val="18"/>
        </w:rPr>
        <w:t xml:space="preserve">tümör belirteçlerinde </w:t>
      </w:r>
      <w:proofErr w:type="spellStart"/>
      <w:r w:rsidRPr="00265A9E">
        <w:rPr>
          <w:sz w:val="18"/>
          <w:szCs w:val="18"/>
        </w:rPr>
        <w:t>rezidüel</w:t>
      </w:r>
      <w:proofErr w:type="spellEnd"/>
      <w:r w:rsidRPr="00265A9E">
        <w:rPr>
          <w:sz w:val="18"/>
          <w:szCs w:val="18"/>
        </w:rPr>
        <w:t xml:space="preserve"> veya </w:t>
      </w:r>
      <w:proofErr w:type="spellStart"/>
      <w:r w:rsidR="00A96699" w:rsidRPr="00265A9E">
        <w:rPr>
          <w:sz w:val="18"/>
          <w:szCs w:val="18"/>
        </w:rPr>
        <w:t>rekürrens</w:t>
      </w:r>
      <w:proofErr w:type="spellEnd"/>
      <w:r w:rsidRPr="00265A9E">
        <w:rPr>
          <w:sz w:val="18"/>
          <w:szCs w:val="18"/>
        </w:rPr>
        <w:t xml:space="preserve"> hastalık düşündürecek ölçü</w:t>
      </w:r>
      <w:r w:rsidR="009C274A" w:rsidRPr="00265A9E">
        <w:rPr>
          <w:sz w:val="18"/>
          <w:szCs w:val="18"/>
        </w:rPr>
        <w:t>tlerde yükselme tespit edilmesi şartları aranır.</w:t>
      </w:r>
      <w:r w:rsidRPr="00265A9E">
        <w:rPr>
          <w:sz w:val="18"/>
          <w:szCs w:val="18"/>
        </w:rPr>
        <w:t xml:space="preserve"> Bunların haricinde </w:t>
      </w:r>
      <w:proofErr w:type="spellStart"/>
      <w:r w:rsidR="00C1357E" w:rsidRPr="00265A9E">
        <w:rPr>
          <w:sz w:val="18"/>
          <w:szCs w:val="18"/>
        </w:rPr>
        <w:t>rekürrens</w:t>
      </w:r>
      <w:proofErr w:type="spellEnd"/>
      <w:r w:rsidRPr="00265A9E">
        <w:rPr>
          <w:sz w:val="18"/>
          <w:szCs w:val="18"/>
        </w:rPr>
        <w:t xml:space="preserve"> ve/veya metastaz potansiyeli yüksek olan orta-yüksek dereceli </w:t>
      </w:r>
      <w:proofErr w:type="spellStart"/>
      <w:r w:rsidRPr="00265A9E">
        <w:rPr>
          <w:sz w:val="18"/>
          <w:szCs w:val="18"/>
        </w:rPr>
        <w:t>malign</w:t>
      </w:r>
      <w:proofErr w:type="spellEnd"/>
      <w:r w:rsidRPr="00265A9E">
        <w:rPr>
          <w:sz w:val="18"/>
          <w:szCs w:val="18"/>
        </w:rPr>
        <w:t xml:space="preserve"> </w:t>
      </w:r>
      <w:proofErr w:type="spellStart"/>
      <w:r w:rsidRPr="00265A9E">
        <w:rPr>
          <w:sz w:val="18"/>
          <w:szCs w:val="18"/>
        </w:rPr>
        <w:t>melanomlarda</w:t>
      </w:r>
      <w:proofErr w:type="spellEnd"/>
      <w:r w:rsidRPr="00265A9E">
        <w:rPr>
          <w:sz w:val="18"/>
          <w:szCs w:val="18"/>
        </w:rPr>
        <w:t xml:space="preserve"> ilk 3 </w:t>
      </w:r>
      <w:r w:rsidR="00893CE2" w:rsidRPr="00265A9E">
        <w:rPr>
          <w:sz w:val="18"/>
          <w:szCs w:val="18"/>
        </w:rPr>
        <w:t xml:space="preserve">(üç) </w:t>
      </w:r>
      <w:r w:rsidRPr="00265A9E">
        <w:rPr>
          <w:sz w:val="18"/>
          <w:szCs w:val="18"/>
        </w:rPr>
        <w:t xml:space="preserve">yıl ve yüksek </w:t>
      </w:r>
      <w:proofErr w:type="spellStart"/>
      <w:r w:rsidRPr="00265A9E">
        <w:rPr>
          <w:sz w:val="18"/>
          <w:szCs w:val="18"/>
        </w:rPr>
        <w:t>grade</w:t>
      </w:r>
      <w:r w:rsidR="009C274A" w:rsidRPr="00265A9E">
        <w:rPr>
          <w:sz w:val="18"/>
          <w:szCs w:val="18"/>
        </w:rPr>
        <w:t>’</w:t>
      </w:r>
      <w:r w:rsidRPr="00265A9E">
        <w:rPr>
          <w:sz w:val="18"/>
          <w:szCs w:val="18"/>
        </w:rPr>
        <w:t>li</w:t>
      </w:r>
      <w:proofErr w:type="spellEnd"/>
      <w:r w:rsidRPr="00265A9E">
        <w:rPr>
          <w:sz w:val="18"/>
          <w:szCs w:val="18"/>
        </w:rPr>
        <w:t xml:space="preserve"> </w:t>
      </w:r>
      <w:proofErr w:type="spellStart"/>
      <w:r w:rsidR="009C274A" w:rsidRPr="00265A9E">
        <w:rPr>
          <w:sz w:val="18"/>
          <w:szCs w:val="18"/>
        </w:rPr>
        <w:t>non-Hodgkin</w:t>
      </w:r>
      <w:proofErr w:type="spellEnd"/>
      <w:r w:rsidR="009C274A" w:rsidRPr="00265A9E">
        <w:rPr>
          <w:sz w:val="18"/>
          <w:szCs w:val="18"/>
        </w:rPr>
        <w:t xml:space="preserve"> </w:t>
      </w:r>
      <w:proofErr w:type="spellStart"/>
      <w:r w:rsidR="009C274A" w:rsidRPr="00265A9E">
        <w:rPr>
          <w:sz w:val="18"/>
          <w:szCs w:val="18"/>
        </w:rPr>
        <w:t>lenfomalarda</w:t>
      </w:r>
      <w:proofErr w:type="spellEnd"/>
      <w:r w:rsidR="009C274A" w:rsidRPr="00265A9E">
        <w:rPr>
          <w:sz w:val="18"/>
          <w:szCs w:val="18"/>
        </w:rPr>
        <w:t xml:space="preserve"> </w:t>
      </w:r>
      <w:r w:rsidRPr="00265A9E">
        <w:rPr>
          <w:sz w:val="18"/>
          <w:szCs w:val="18"/>
        </w:rPr>
        <w:t>ilk 2</w:t>
      </w:r>
      <w:r w:rsidR="00893CE2" w:rsidRPr="00265A9E">
        <w:rPr>
          <w:sz w:val="18"/>
          <w:szCs w:val="18"/>
        </w:rPr>
        <w:t xml:space="preserve"> (iki)</w:t>
      </w:r>
      <w:r w:rsidRPr="00265A9E">
        <w:rPr>
          <w:sz w:val="18"/>
          <w:szCs w:val="18"/>
        </w:rPr>
        <w:t xml:space="preserve"> yıl takipte yukarıda belirtilen şartlar aranmaksızın yılda bir kez olmak üzere </w:t>
      </w:r>
      <w:proofErr w:type="spellStart"/>
      <w:r w:rsidR="00C1357E" w:rsidRPr="00265A9E">
        <w:rPr>
          <w:sz w:val="18"/>
          <w:szCs w:val="18"/>
        </w:rPr>
        <w:t>rekürrens</w:t>
      </w:r>
      <w:proofErr w:type="spellEnd"/>
      <w:r w:rsidRPr="00265A9E">
        <w:rPr>
          <w:sz w:val="18"/>
          <w:szCs w:val="18"/>
        </w:rPr>
        <w:t xml:space="preserve">/metastaz kontrol amaçlı rutin PET </w:t>
      </w:r>
      <w:proofErr w:type="spellStart"/>
      <w:r w:rsidRPr="00265A9E">
        <w:rPr>
          <w:sz w:val="18"/>
          <w:szCs w:val="18"/>
        </w:rPr>
        <w:t>endikasyonu</w:t>
      </w:r>
      <w:proofErr w:type="spellEnd"/>
      <w:r w:rsidRPr="00265A9E">
        <w:rPr>
          <w:sz w:val="18"/>
          <w:szCs w:val="18"/>
        </w:rPr>
        <w:t xml:space="preserve"> konabilir.</w:t>
      </w:r>
    </w:p>
    <w:p w:rsidR="005D0F85" w:rsidRPr="00265A9E" w:rsidRDefault="00A657F4" w:rsidP="00265A9E">
      <w:pPr>
        <w:numPr>
          <w:ilvl w:val="1"/>
          <w:numId w:val="38"/>
        </w:numPr>
        <w:tabs>
          <w:tab w:val="clear" w:pos="720"/>
          <w:tab w:val="num" w:pos="851"/>
          <w:tab w:val="left" w:pos="993"/>
        </w:tabs>
        <w:ind w:left="0" w:firstLine="709"/>
        <w:jc w:val="both"/>
        <w:rPr>
          <w:sz w:val="18"/>
          <w:szCs w:val="18"/>
        </w:rPr>
      </w:pPr>
      <w:r w:rsidRPr="00265A9E">
        <w:rPr>
          <w:sz w:val="18"/>
          <w:szCs w:val="18"/>
        </w:rPr>
        <w:t>Tedavi</w:t>
      </w:r>
      <w:r w:rsidR="00893CE2" w:rsidRPr="00265A9E">
        <w:rPr>
          <w:sz w:val="18"/>
          <w:szCs w:val="18"/>
        </w:rPr>
        <w:t>ye</w:t>
      </w:r>
      <w:r w:rsidRPr="00265A9E">
        <w:rPr>
          <w:sz w:val="18"/>
          <w:szCs w:val="18"/>
        </w:rPr>
        <w:t xml:space="preserve"> yanıtın değerlendirilmesi, KT veya </w:t>
      </w:r>
      <w:proofErr w:type="spellStart"/>
      <w:r w:rsidRPr="00265A9E">
        <w:rPr>
          <w:sz w:val="18"/>
          <w:szCs w:val="18"/>
        </w:rPr>
        <w:t>RT’nin</w:t>
      </w:r>
      <w:proofErr w:type="spellEnd"/>
      <w:r w:rsidRPr="00265A9E">
        <w:rPr>
          <w:sz w:val="18"/>
          <w:szCs w:val="18"/>
        </w:rPr>
        <w:t xml:space="preserve"> tamamlanmasından sonra tümörün verdiği yanıtı araştırmaya yönelik bir ifadedir. Bu amaçla PET </w:t>
      </w:r>
      <w:proofErr w:type="spellStart"/>
      <w:r w:rsidRPr="00265A9E">
        <w:rPr>
          <w:sz w:val="18"/>
          <w:szCs w:val="18"/>
        </w:rPr>
        <w:t>endikasyonu</w:t>
      </w:r>
      <w:proofErr w:type="spellEnd"/>
      <w:r w:rsidRPr="00265A9E">
        <w:rPr>
          <w:sz w:val="18"/>
          <w:szCs w:val="18"/>
        </w:rPr>
        <w:t xml:space="preserve"> konması için kemoterapi tamamlandıktan sonra en erken 2</w:t>
      </w:r>
      <w:r w:rsidR="00893CE2" w:rsidRPr="00265A9E">
        <w:rPr>
          <w:sz w:val="18"/>
          <w:szCs w:val="18"/>
        </w:rPr>
        <w:t xml:space="preserve"> (iki)</w:t>
      </w:r>
      <w:r w:rsidRPr="00265A9E">
        <w:rPr>
          <w:sz w:val="18"/>
          <w:szCs w:val="18"/>
        </w:rPr>
        <w:t xml:space="preserve"> hafta, radyoterapi tam</w:t>
      </w:r>
      <w:r w:rsidR="00893CE2" w:rsidRPr="00265A9E">
        <w:rPr>
          <w:sz w:val="18"/>
          <w:szCs w:val="18"/>
        </w:rPr>
        <w:t>amlandıktan sonra ise en erken 3 (üç)</w:t>
      </w:r>
      <w:r w:rsidRPr="00265A9E">
        <w:rPr>
          <w:sz w:val="18"/>
          <w:szCs w:val="18"/>
        </w:rPr>
        <w:t xml:space="preserve"> ay geçmiş olması gereklidir.</w:t>
      </w:r>
      <w:r w:rsidR="003A4081" w:rsidRPr="00265A9E">
        <w:rPr>
          <w:bCs/>
          <w:sz w:val="18"/>
          <w:szCs w:val="18"/>
        </w:rPr>
        <w:t xml:space="preserve"> </w:t>
      </w:r>
    </w:p>
    <w:p w:rsidR="005D0F85" w:rsidRPr="00265A9E" w:rsidRDefault="00A657F4" w:rsidP="00265A9E">
      <w:pPr>
        <w:numPr>
          <w:ilvl w:val="1"/>
          <w:numId w:val="38"/>
        </w:numPr>
        <w:tabs>
          <w:tab w:val="clear" w:pos="720"/>
          <w:tab w:val="num" w:pos="851"/>
          <w:tab w:val="left" w:pos="993"/>
        </w:tabs>
        <w:ind w:left="0" w:firstLine="709"/>
        <w:jc w:val="both"/>
        <w:rPr>
          <w:sz w:val="18"/>
          <w:szCs w:val="18"/>
        </w:rPr>
      </w:pPr>
      <w:proofErr w:type="spellStart"/>
      <w:r w:rsidRPr="00265A9E">
        <w:rPr>
          <w:sz w:val="18"/>
          <w:szCs w:val="18"/>
        </w:rPr>
        <w:t>Kemosensitivitenin</w:t>
      </w:r>
      <w:proofErr w:type="spellEnd"/>
      <w:r w:rsidRPr="00265A9E">
        <w:rPr>
          <w:sz w:val="18"/>
          <w:szCs w:val="18"/>
        </w:rPr>
        <w:t xml:space="preserve"> belirlenmesi, sadece KT ile tedavi edilen ve alternatif KT protokolleri uygulanabilecek kanserlerde, tümörün uygulanan KT protokolüne erken dönemde (1-3. kür sonrası) verdiği yanıtı araştırmaya yönelik bir uygulamadır. Bu amaçla PET uygulanabilmesi için tedavi</w:t>
      </w:r>
      <w:r w:rsidR="00DD37B0" w:rsidRPr="00265A9E">
        <w:rPr>
          <w:sz w:val="18"/>
          <w:szCs w:val="18"/>
        </w:rPr>
        <w:t xml:space="preserve">ye başlanmadan </w:t>
      </w:r>
      <w:r w:rsidRPr="00265A9E">
        <w:rPr>
          <w:sz w:val="18"/>
          <w:szCs w:val="18"/>
        </w:rPr>
        <w:t xml:space="preserve">önce PET ile </w:t>
      </w:r>
      <w:proofErr w:type="spellStart"/>
      <w:r w:rsidRPr="00265A9E">
        <w:rPr>
          <w:sz w:val="18"/>
          <w:szCs w:val="18"/>
        </w:rPr>
        <w:t>evreleme</w:t>
      </w:r>
      <w:proofErr w:type="spellEnd"/>
      <w:r w:rsidRPr="00265A9E">
        <w:rPr>
          <w:sz w:val="18"/>
          <w:szCs w:val="18"/>
        </w:rPr>
        <w:t xml:space="preserve"> çalışmasının da yapılmış olması gereklidir.</w:t>
      </w:r>
    </w:p>
    <w:p w:rsidR="00233891" w:rsidRPr="00265A9E" w:rsidRDefault="00233891" w:rsidP="00A93409">
      <w:pPr>
        <w:ind w:left="360"/>
        <w:jc w:val="both"/>
        <w:rPr>
          <w:sz w:val="18"/>
          <w:szCs w:val="18"/>
        </w:rPr>
      </w:pPr>
    </w:p>
    <w:p w:rsidR="005D0F85" w:rsidRPr="00265A9E" w:rsidRDefault="005D0F85" w:rsidP="00265A9E">
      <w:pPr>
        <w:numPr>
          <w:ilvl w:val="0"/>
          <w:numId w:val="38"/>
        </w:numPr>
        <w:tabs>
          <w:tab w:val="left" w:pos="993"/>
        </w:tabs>
        <w:ind w:firstLine="669"/>
        <w:jc w:val="both"/>
        <w:rPr>
          <w:b/>
          <w:sz w:val="18"/>
          <w:szCs w:val="18"/>
          <w:u w:val="single"/>
        </w:rPr>
      </w:pPr>
      <w:r w:rsidRPr="00265A9E">
        <w:rPr>
          <w:b/>
          <w:sz w:val="18"/>
          <w:szCs w:val="18"/>
          <w:u w:val="single"/>
        </w:rPr>
        <w:t>Diğer şartlar:</w:t>
      </w:r>
    </w:p>
    <w:p w:rsidR="00E913A6" w:rsidRPr="00265A9E" w:rsidRDefault="00A657F4" w:rsidP="00265A9E">
      <w:pPr>
        <w:numPr>
          <w:ilvl w:val="1"/>
          <w:numId w:val="38"/>
        </w:numPr>
        <w:tabs>
          <w:tab w:val="clear" w:pos="720"/>
          <w:tab w:val="left" w:pos="993"/>
        </w:tabs>
        <w:ind w:left="0" w:firstLine="709"/>
        <w:jc w:val="both"/>
        <w:rPr>
          <w:sz w:val="18"/>
          <w:szCs w:val="18"/>
        </w:rPr>
      </w:pPr>
      <w:r w:rsidRPr="00265A9E">
        <w:rPr>
          <w:sz w:val="18"/>
          <w:szCs w:val="18"/>
        </w:rPr>
        <w:t>PET çalışması</w:t>
      </w:r>
      <w:r w:rsidR="004C1641" w:rsidRPr="00265A9E">
        <w:rPr>
          <w:sz w:val="18"/>
          <w:szCs w:val="18"/>
        </w:rPr>
        <w:t>nı</w:t>
      </w:r>
      <w:r w:rsidR="007E0048" w:rsidRPr="00265A9E">
        <w:rPr>
          <w:sz w:val="18"/>
          <w:szCs w:val="18"/>
        </w:rPr>
        <w:t xml:space="preserve">n tekrar </w:t>
      </w:r>
      <w:r w:rsidR="004C1641" w:rsidRPr="00265A9E">
        <w:rPr>
          <w:sz w:val="18"/>
          <w:szCs w:val="18"/>
        </w:rPr>
        <w:t xml:space="preserve">yapılabilmesi için </w:t>
      </w:r>
      <w:r w:rsidRPr="00265A9E">
        <w:rPr>
          <w:sz w:val="18"/>
          <w:szCs w:val="18"/>
        </w:rPr>
        <w:t xml:space="preserve">bir önceki PET çalışmasından </w:t>
      </w:r>
      <w:r w:rsidR="004C1641" w:rsidRPr="00265A9E">
        <w:rPr>
          <w:sz w:val="18"/>
          <w:szCs w:val="18"/>
        </w:rPr>
        <w:t xml:space="preserve">sonra </w:t>
      </w:r>
      <w:r w:rsidRPr="00265A9E">
        <w:rPr>
          <w:sz w:val="18"/>
          <w:szCs w:val="18"/>
        </w:rPr>
        <w:t xml:space="preserve">asgari 3 </w:t>
      </w:r>
      <w:r w:rsidR="00893CE2" w:rsidRPr="00265A9E">
        <w:rPr>
          <w:sz w:val="18"/>
          <w:szCs w:val="18"/>
        </w:rPr>
        <w:t xml:space="preserve">(üç) </w:t>
      </w:r>
      <w:r w:rsidRPr="00265A9E">
        <w:rPr>
          <w:sz w:val="18"/>
          <w:szCs w:val="18"/>
        </w:rPr>
        <w:t>ay süre geçmiş olma şartı aranır.</w:t>
      </w:r>
      <w:r w:rsidR="007E0048" w:rsidRPr="00265A9E">
        <w:rPr>
          <w:sz w:val="18"/>
          <w:szCs w:val="18"/>
        </w:rPr>
        <w:t xml:space="preserve"> </w:t>
      </w:r>
      <w:r w:rsidR="009F016A" w:rsidRPr="00265A9E">
        <w:rPr>
          <w:sz w:val="18"/>
          <w:szCs w:val="18"/>
        </w:rPr>
        <w:t xml:space="preserve">Ancak kanser tedavisi yanıtının belirlenmesi amacıyla ve </w:t>
      </w:r>
      <w:proofErr w:type="spellStart"/>
      <w:r w:rsidR="009F016A" w:rsidRPr="00265A9E">
        <w:rPr>
          <w:sz w:val="18"/>
          <w:szCs w:val="18"/>
        </w:rPr>
        <w:t>nüks</w:t>
      </w:r>
      <w:proofErr w:type="spellEnd"/>
      <w:r w:rsidR="009F016A" w:rsidRPr="00265A9E">
        <w:rPr>
          <w:sz w:val="18"/>
          <w:szCs w:val="18"/>
        </w:rPr>
        <w:t xml:space="preserve"> şüphesi nedeniyle erken dönemde yapılacak PET çalışmaları için bu şart aranma</w:t>
      </w:r>
      <w:bookmarkStart w:id="0" w:name="_GoBack"/>
      <w:bookmarkEnd w:id="0"/>
      <w:r w:rsidR="009F016A" w:rsidRPr="00265A9E">
        <w:rPr>
          <w:sz w:val="18"/>
          <w:szCs w:val="18"/>
        </w:rPr>
        <w:t>z.</w:t>
      </w:r>
    </w:p>
    <w:p w:rsidR="00E913A6" w:rsidRPr="00265A9E" w:rsidRDefault="00366A55" w:rsidP="00265A9E">
      <w:pPr>
        <w:numPr>
          <w:ilvl w:val="1"/>
          <w:numId w:val="38"/>
        </w:numPr>
        <w:tabs>
          <w:tab w:val="clear" w:pos="720"/>
          <w:tab w:val="left" w:pos="993"/>
        </w:tabs>
        <w:ind w:left="0" w:firstLine="709"/>
        <w:jc w:val="both"/>
        <w:rPr>
          <w:sz w:val="18"/>
          <w:szCs w:val="18"/>
        </w:rPr>
      </w:pPr>
      <w:r w:rsidRPr="00265A9E">
        <w:rPr>
          <w:sz w:val="18"/>
          <w:szCs w:val="18"/>
        </w:rPr>
        <w:t xml:space="preserve">Onkolojik amaçlı PET çalışmalarında </w:t>
      </w:r>
      <w:r w:rsidR="00A657F4" w:rsidRPr="00265A9E">
        <w:rPr>
          <w:sz w:val="18"/>
          <w:szCs w:val="18"/>
        </w:rPr>
        <w:t xml:space="preserve">tüm vücut </w:t>
      </w:r>
      <w:r w:rsidRPr="00265A9E">
        <w:rPr>
          <w:sz w:val="18"/>
          <w:szCs w:val="18"/>
        </w:rPr>
        <w:t xml:space="preserve">tarama yapılır. </w:t>
      </w:r>
      <w:r w:rsidR="00A657F4" w:rsidRPr="00265A9E">
        <w:rPr>
          <w:sz w:val="18"/>
          <w:szCs w:val="18"/>
        </w:rPr>
        <w:t xml:space="preserve">Tüm vücut PET görüntüleme, kafa tabanı ile uyluk üst kısımlarına kadar olan mesafeyi kapsar. Beyin metastazlarının gösterilmesinde </w:t>
      </w:r>
      <w:proofErr w:type="spellStart"/>
      <w:r w:rsidR="00A657F4" w:rsidRPr="00265A9E">
        <w:rPr>
          <w:sz w:val="18"/>
          <w:szCs w:val="18"/>
        </w:rPr>
        <w:t>PET’in</w:t>
      </w:r>
      <w:proofErr w:type="spellEnd"/>
      <w:r w:rsidR="00A657F4" w:rsidRPr="00265A9E">
        <w:rPr>
          <w:sz w:val="18"/>
          <w:szCs w:val="18"/>
        </w:rPr>
        <w:t xml:space="preserve"> duyarlılığı düşük olduğu için standart onkolojik amaçlı PET çalışmasında </w:t>
      </w:r>
      <w:proofErr w:type="spellStart"/>
      <w:r w:rsidR="00A657F4" w:rsidRPr="00265A9E">
        <w:rPr>
          <w:sz w:val="18"/>
          <w:szCs w:val="18"/>
        </w:rPr>
        <w:t>kraniyal</w:t>
      </w:r>
      <w:proofErr w:type="spellEnd"/>
      <w:r w:rsidR="00A657F4" w:rsidRPr="00265A9E">
        <w:rPr>
          <w:sz w:val="18"/>
          <w:szCs w:val="18"/>
        </w:rPr>
        <w:t xml:space="preserve"> bölgenin görüntülemeye dahil edilmesi şart değildir. </w:t>
      </w:r>
      <w:r w:rsidR="009A325D" w:rsidRPr="00265A9E">
        <w:rPr>
          <w:sz w:val="18"/>
          <w:szCs w:val="18"/>
        </w:rPr>
        <w:t>M</w:t>
      </w:r>
      <w:r w:rsidR="00A657F4" w:rsidRPr="00265A9E">
        <w:rPr>
          <w:sz w:val="18"/>
          <w:szCs w:val="18"/>
        </w:rPr>
        <w:t xml:space="preserve">etastaz potansiyeli çok yüksek olan </w:t>
      </w:r>
      <w:proofErr w:type="spellStart"/>
      <w:r w:rsidR="00A657F4" w:rsidRPr="00265A9E">
        <w:rPr>
          <w:sz w:val="18"/>
          <w:szCs w:val="18"/>
        </w:rPr>
        <w:t>malign</w:t>
      </w:r>
      <w:proofErr w:type="spellEnd"/>
      <w:r w:rsidR="00A657F4" w:rsidRPr="00265A9E">
        <w:rPr>
          <w:sz w:val="18"/>
          <w:szCs w:val="18"/>
        </w:rPr>
        <w:t xml:space="preserve"> </w:t>
      </w:r>
      <w:proofErr w:type="spellStart"/>
      <w:r w:rsidR="00A657F4" w:rsidRPr="00265A9E">
        <w:rPr>
          <w:sz w:val="18"/>
          <w:szCs w:val="18"/>
        </w:rPr>
        <w:t>melanom</w:t>
      </w:r>
      <w:proofErr w:type="spellEnd"/>
      <w:r w:rsidR="00525A28" w:rsidRPr="00265A9E">
        <w:rPr>
          <w:sz w:val="18"/>
          <w:szCs w:val="18"/>
        </w:rPr>
        <w:t>,</w:t>
      </w:r>
      <w:r w:rsidR="009A325D" w:rsidRPr="00265A9E">
        <w:rPr>
          <w:sz w:val="18"/>
          <w:szCs w:val="18"/>
        </w:rPr>
        <w:t xml:space="preserve"> </w:t>
      </w:r>
      <w:proofErr w:type="spellStart"/>
      <w:r w:rsidR="009A325D" w:rsidRPr="00265A9E">
        <w:rPr>
          <w:sz w:val="18"/>
          <w:szCs w:val="18"/>
        </w:rPr>
        <w:t>nöroblastom</w:t>
      </w:r>
      <w:proofErr w:type="spellEnd"/>
      <w:r w:rsidR="009A325D" w:rsidRPr="00265A9E">
        <w:rPr>
          <w:sz w:val="18"/>
          <w:szCs w:val="18"/>
        </w:rPr>
        <w:t xml:space="preserve"> </w:t>
      </w:r>
      <w:r w:rsidR="00525A28" w:rsidRPr="00265A9E">
        <w:rPr>
          <w:sz w:val="18"/>
          <w:szCs w:val="18"/>
        </w:rPr>
        <w:t xml:space="preserve">ve </w:t>
      </w:r>
      <w:proofErr w:type="spellStart"/>
      <w:r w:rsidR="00525A28" w:rsidRPr="00265A9E">
        <w:rPr>
          <w:sz w:val="18"/>
          <w:szCs w:val="18"/>
        </w:rPr>
        <w:t>multipl</w:t>
      </w:r>
      <w:proofErr w:type="spellEnd"/>
      <w:r w:rsidR="00525A28" w:rsidRPr="00265A9E">
        <w:rPr>
          <w:sz w:val="18"/>
          <w:szCs w:val="18"/>
        </w:rPr>
        <w:t xml:space="preserve"> </w:t>
      </w:r>
      <w:proofErr w:type="spellStart"/>
      <w:r w:rsidR="00525A28" w:rsidRPr="00265A9E">
        <w:rPr>
          <w:sz w:val="18"/>
          <w:szCs w:val="18"/>
        </w:rPr>
        <w:t>myelom</w:t>
      </w:r>
      <w:proofErr w:type="spellEnd"/>
      <w:r w:rsidR="00525A28" w:rsidRPr="00265A9E">
        <w:rPr>
          <w:sz w:val="18"/>
          <w:szCs w:val="18"/>
        </w:rPr>
        <w:t xml:space="preserve"> gi</w:t>
      </w:r>
      <w:r w:rsidR="009A325D" w:rsidRPr="00265A9E">
        <w:rPr>
          <w:sz w:val="18"/>
          <w:szCs w:val="18"/>
        </w:rPr>
        <w:t xml:space="preserve">bi </w:t>
      </w:r>
      <w:proofErr w:type="spellStart"/>
      <w:r w:rsidR="009A325D" w:rsidRPr="00265A9E">
        <w:rPr>
          <w:sz w:val="18"/>
          <w:szCs w:val="18"/>
        </w:rPr>
        <w:t>malignitelerde</w:t>
      </w:r>
      <w:proofErr w:type="spellEnd"/>
      <w:r w:rsidR="009A325D" w:rsidRPr="00265A9E">
        <w:rPr>
          <w:sz w:val="18"/>
          <w:szCs w:val="18"/>
        </w:rPr>
        <w:t xml:space="preserve"> tüm vücut görüntülemesine </w:t>
      </w:r>
      <w:proofErr w:type="spellStart"/>
      <w:r w:rsidR="009A325D" w:rsidRPr="00265A9E">
        <w:rPr>
          <w:sz w:val="18"/>
          <w:szCs w:val="18"/>
        </w:rPr>
        <w:t>kran</w:t>
      </w:r>
      <w:r w:rsidR="00F006B2" w:rsidRPr="00265A9E">
        <w:rPr>
          <w:sz w:val="18"/>
          <w:szCs w:val="18"/>
        </w:rPr>
        <w:t>iyal</w:t>
      </w:r>
      <w:proofErr w:type="spellEnd"/>
      <w:r w:rsidR="00F006B2" w:rsidRPr="00265A9E">
        <w:rPr>
          <w:sz w:val="18"/>
          <w:szCs w:val="18"/>
        </w:rPr>
        <w:t xml:space="preserve"> bölge ve alt </w:t>
      </w:r>
      <w:proofErr w:type="spellStart"/>
      <w:r w:rsidR="00F006B2" w:rsidRPr="00265A9E">
        <w:rPr>
          <w:sz w:val="18"/>
          <w:szCs w:val="18"/>
        </w:rPr>
        <w:t>ekstremiteler</w:t>
      </w:r>
      <w:proofErr w:type="spellEnd"/>
      <w:r w:rsidR="00F006B2" w:rsidRPr="00265A9E">
        <w:rPr>
          <w:sz w:val="18"/>
          <w:szCs w:val="18"/>
        </w:rPr>
        <w:t xml:space="preserve"> </w:t>
      </w:r>
      <w:r w:rsidR="009A325D" w:rsidRPr="00265A9E">
        <w:rPr>
          <w:sz w:val="18"/>
          <w:szCs w:val="18"/>
        </w:rPr>
        <w:t xml:space="preserve">dahil edilmelidir. Ayrıca </w:t>
      </w:r>
      <w:r w:rsidR="00E913A6" w:rsidRPr="00265A9E">
        <w:rPr>
          <w:sz w:val="18"/>
          <w:szCs w:val="18"/>
        </w:rPr>
        <w:t xml:space="preserve">klinik </w:t>
      </w:r>
      <w:r w:rsidR="009A325D" w:rsidRPr="00265A9E">
        <w:rPr>
          <w:sz w:val="18"/>
          <w:szCs w:val="18"/>
        </w:rPr>
        <w:t>muayene veya diğer görüntüleme yöntemler</w:t>
      </w:r>
      <w:r w:rsidR="00E913A6" w:rsidRPr="00265A9E">
        <w:rPr>
          <w:sz w:val="18"/>
          <w:szCs w:val="18"/>
        </w:rPr>
        <w:t>in</w:t>
      </w:r>
      <w:r w:rsidR="009A325D" w:rsidRPr="00265A9E">
        <w:rPr>
          <w:sz w:val="18"/>
          <w:szCs w:val="18"/>
        </w:rPr>
        <w:t xml:space="preserve">de </w:t>
      </w:r>
      <w:proofErr w:type="spellStart"/>
      <w:r w:rsidR="009A325D" w:rsidRPr="00265A9E">
        <w:rPr>
          <w:sz w:val="18"/>
          <w:szCs w:val="18"/>
        </w:rPr>
        <w:t>kraniyal</w:t>
      </w:r>
      <w:proofErr w:type="spellEnd"/>
      <w:r w:rsidR="009A325D" w:rsidRPr="00265A9E">
        <w:rPr>
          <w:sz w:val="18"/>
          <w:szCs w:val="18"/>
        </w:rPr>
        <w:t xml:space="preserve"> veya </w:t>
      </w:r>
      <w:proofErr w:type="spellStart"/>
      <w:r w:rsidR="009A325D" w:rsidRPr="00265A9E">
        <w:rPr>
          <w:sz w:val="18"/>
          <w:szCs w:val="18"/>
        </w:rPr>
        <w:t>periferik</w:t>
      </w:r>
      <w:proofErr w:type="spellEnd"/>
      <w:r w:rsidR="009A325D" w:rsidRPr="00265A9E">
        <w:rPr>
          <w:sz w:val="18"/>
          <w:szCs w:val="18"/>
        </w:rPr>
        <w:t xml:space="preserve"> alt </w:t>
      </w:r>
      <w:proofErr w:type="spellStart"/>
      <w:r w:rsidR="009A325D" w:rsidRPr="00265A9E">
        <w:rPr>
          <w:sz w:val="18"/>
          <w:szCs w:val="18"/>
        </w:rPr>
        <w:t>ekstremite</w:t>
      </w:r>
      <w:proofErr w:type="spellEnd"/>
      <w:r w:rsidR="009A325D" w:rsidRPr="00265A9E">
        <w:rPr>
          <w:sz w:val="18"/>
          <w:szCs w:val="18"/>
        </w:rPr>
        <w:t xml:space="preserve"> tümörü veya metastaz şüphesi olan olgularda da </w:t>
      </w:r>
      <w:proofErr w:type="spellStart"/>
      <w:r w:rsidR="009A325D" w:rsidRPr="00265A9E">
        <w:rPr>
          <w:sz w:val="18"/>
          <w:szCs w:val="18"/>
        </w:rPr>
        <w:t>kraniyal</w:t>
      </w:r>
      <w:proofErr w:type="spellEnd"/>
      <w:r w:rsidR="009A325D" w:rsidRPr="00265A9E">
        <w:rPr>
          <w:sz w:val="18"/>
          <w:szCs w:val="18"/>
        </w:rPr>
        <w:t xml:space="preserve"> bölge ve </w:t>
      </w:r>
      <w:proofErr w:type="spellStart"/>
      <w:r w:rsidR="009A325D" w:rsidRPr="00265A9E">
        <w:rPr>
          <w:sz w:val="18"/>
          <w:szCs w:val="18"/>
        </w:rPr>
        <w:t>periferik</w:t>
      </w:r>
      <w:proofErr w:type="spellEnd"/>
      <w:r w:rsidR="009A325D" w:rsidRPr="00265A9E">
        <w:rPr>
          <w:sz w:val="18"/>
          <w:szCs w:val="18"/>
        </w:rPr>
        <w:t xml:space="preserve"> </w:t>
      </w:r>
      <w:proofErr w:type="spellStart"/>
      <w:r w:rsidR="009A325D" w:rsidRPr="00265A9E">
        <w:rPr>
          <w:sz w:val="18"/>
          <w:szCs w:val="18"/>
        </w:rPr>
        <w:t>ekstremiteler</w:t>
      </w:r>
      <w:proofErr w:type="spellEnd"/>
      <w:r w:rsidR="009A325D" w:rsidRPr="00265A9E">
        <w:rPr>
          <w:sz w:val="18"/>
          <w:szCs w:val="18"/>
        </w:rPr>
        <w:t xml:space="preserve"> görüntülenmelidir. </w:t>
      </w:r>
      <w:r w:rsidR="00A657F4" w:rsidRPr="00265A9E">
        <w:rPr>
          <w:sz w:val="18"/>
          <w:szCs w:val="18"/>
        </w:rPr>
        <w:t xml:space="preserve"> </w:t>
      </w:r>
    </w:p>
    <w:p w:rsidR="00E913A6" w:rsidRPr="00265A9E" w:rsidRDefault="007E0048" w:rsidP="00265A9E">
      <w:pPr>
        <w:numPr>
          <w:ilvl w:val="1"/>
          <w:numId w:val="38"/>
        </w:numPr>
        <w:tabs>
          <w:tab w:val="clear" w:pos="720"/>
          <w:tab w:val="left" w:pos="993"/>
        </w:tabs>
        <w:ind w:left="0" w:firstLine="709"/>
        <w:jc w:val="both"/>
        <w:rPr>
          <w:sz w:val="18"/>
          <w:szCs w:val="18"/>
        </w:rPr>
      </w:pPr>
      <w:r w:rsidRPr="00265A9E">
        <w:rPr>
          <w:sz w:val="18"/>
          <w:szCs w:val="18"/>
        </w:rPr>
        <w:t xml:space="preserve">Tüm vücut PET </w:t>
      </w:r>
      <w:r w:rsidR="00A657F4" w:rsidRPr="00265A9E">
        <w:rPr>
          <w:sz w:val="18"/>
          <w:szCs w:val="18"/>
        </w:rPr>
        <w:t>çalışmalar</w:t>
      </w:r>
      <w:r w:rsidRPr="00265A9E">
        <w:rPr>
          <w:sz w:val="18"/>
          <w:szCs w:val="18"/>
        </w:rPr>
        <w:t>ın</w:t>
      </w:r>
      <w:r w:rsidR="00A657F4" w:rsidRPr="00265A9E">
        <w:rPr>
          <w:sz w:val="18"/>
          <w:szCs w:val="18"/>
        </w:rPr>
        <w:t xml:space="preserve">da aynı seansta </w:t>
      </w:r>
      <w:r w:rsidR="00E913A6" w:rsidRPr="00265A9E">
        <w:rPr>
          <w:sz w:val="18"/>
          <w:szCs w:val="18"/>
        </w:rPr>
        <w:t xml:space="preserve">beyine </w:t>
      </w:r>
      <w:r w:rsidR="00A657F4" w:rsidRPr="00265A9E">
        <w:rPr>
          <w:sz w:val="18"/>
          <w:szCs w:val="18"/>
        </w:rPr>
        <w:t xml:space="preserve">veya </w:t>
      </w:r>
      <w:proofErr w:type="spellStart"/>
      <w:r w:rsidR="00A657F4" w:rsidRPr="00265A9E">
        <w:rPr>
          <w:sz w:val="18"/>
          <w:szCs w:val="18"/>
        </w:rPr>
        <w:t>myokarda</w:t>
      </w:r>
      <w:proofErr w:type="spellEnd"/>
      <w:r w:rsidR="00A657F4" w:rsidRPr="00265A9E">
        <w:rPr>
          <w:sz w:val="18"/>
          <w:szCs w:val="18"/>
        </w:rPr>
        <w:t xml:space="preserve"> yönelik görüntülemeler yapılsa dahi ayrıca fatura edilemezler. </w:t>
      </w:r>
    </w:p>
    <w:p w:rsidR="00AE1E92" w:rsidRPr="00265A9E" w:rsidRDefault="0079595F" w:rsidP="00265A9E">
      <w:pPr>
        <w:pStyle w:val="ListeParagraf"/>
        <w:numPr>
          <w:ilvl w:val="1"/>
          <w:numId w:val="38"/>
        </w:numPr>
        <w:tabs>
          <w:tab w:val="clear" w:pos="720"/>
          <w:tab w:val="left" w:pos="993"/>
        </w:tabs>
        <w:ind w:left="0" w:firstLine="709"/>
        <w:jc w:val="both"/>
        <w:rPr>
          <w:sz w:val="18"/>
          <w:szCs w:val="18"/>
        </w:rPr>
      </w:pPr>
      <w:r w:rsidRPr="00265A9E">
        <w:rPr>
          <w:sz w:val="18"/>
          <w:szCs w:val="18"/>
        </w:rPr>
        <w:t xml:space="preserve">PET raporlaması nükleer tıp uzmanlarınca yapılır. PET ile birlikte tanısal BT veya tanısal MR yapılması halinde BT veya MR raporlaması radyoloji uzman hekimince ayrıca yapılır.                                                                                                      </w:t>
      </w:r>
    </w:p>
    <w:p w:rsidR="00E913A6" w:rsidRPr="00265A9E" w:rsidRDefault="00A657F4" w:rsidP="00265A9E">
      <w:pPr>
        <w:pStyle w:val="ListeParagraf"/>
        <w:numPr>
          <w:ilvl w:val="1"/>
          <w:numId w:val="38"/>
        </w:numPr>
        <w:tabs>
          <w:tab w:val="clear" w:pos="720"/>
          <w:tab w:val="left" w:pos="993"/>
        </w:tabs>
        <w:ind w:left="0" w:firstLine="709"/>
        <w:jc w:val="both"/>
        <w:rPr>
          <w:sz w:val="18"/>
          <w:szCs w:val="18"/>
        </w:rPr>
      </w:pPr>
      <w:r w:rsidRPr="00265A9E">
        <w:rPr>
          <w:sz w:val="18"/>
          <w:szCs w:val="18"/>
        </w:rPr>
        <w:t xml:space="preserve">PET sonuç raporunda </w:t>
      </w:r>
      <w:r w:rsidR="00301D93" w:rsidRPr="00265A9E">
        <w:rPr>
          <w:sz w:val="18"/>
          <w:szCs w:val="18"/>
        </w:rPr>
        <w:t xml:space="preserve">tetkik </w:t>
      </w:r>
      <w:proofErr w:type="spellStart"/>
      <w:r w:rsidR="00301D93" w:rsidRPr="00265A9E">
        <w:rPr>
          <w:sz w:val="18"/>
          <w:szCs w:val="18"/>
        </w:rPr>
        <w:t>endikasyonunun</w:t>
      </w:r>
      <w:proofErr w:type="spellEnd"/>
      <w:r w:rsidR="00301D93" w:rsidRPr="00265A9E">
        <w:rPr>
          <w:sz w:val="18"/>
          <w:szCs w:val="18"/>
        </w:rPr>
        <w:t xml:space="preserve"> </w:t>
      </w:r>
      <w:r w:rsidRPr="00265A9E">
        <w:rPr>
          <w:sz w:val="18"/>
          <w:szCs w:val="18"/>
        </w:rPr>
        <w:t xml:space="preserve">açık olarak </w:t>
      </w:r>
      <w:r w:rsidR="00797A25" w:rsidRPr="00265A9E">
        <w:rPr>
          <w:sz w:val="18"/>
          <w:szCs w:val="18"/>
        </w:rPr>
        <w:t xml:space="preserve">(ICD 10 kodu ile) </w:t>
      </w:r>
      <w:r w:rsidRPr="00265A9E">
        <w:rPr>
          <w:sz w:val="18"/>
          <w:szCs w:val="18"/>
        </w:rPr>
        <w:t xml:space="preserve">belirtilmesi gereklidir. </w:t>
      </w:r>
    </w:p>
    <w:p w:rsidR="005A5B9A" w:rsidRPr="00265A9E" w:rsidRDefault="005A5B9A" w:rsidP="005A5B9A">
      <w:pPr>
        <w:numPr>
          <w:ilvl w:val="0"/>
          <w:numId w:val="40"/>
        </w:numPr>
        <w:spacing w:before="100" w:beforeAutospacing="1" w:after="100" w:afterAutospacing="1"/>
        <w:jc w:val="center"/>
        <w:rPr>
          <w:b/>
          <w:sz w:val="18"/>
          <w:szCs w:val="18"/>
        </w:rPr>
      </w:pPr>
      <w:r w:rsidRPr="00265A9E">
        <w:rPr>
          <w:b/>
          <w:sz w:val="18"/>
          <w:szCs w:val="18"/>
        </w:rPr>
        <w:t>BEYİN PET (SUT KODU 800.690)</w:t>
      </w:r>
    </w:p>
    <w:p w:rsidR="005A5B9A" w:rsidRPr="00265A9E" w:rsidRDefault="005A5B9A" w:rsidP="00C5026F">
      <w:pPr>
        <w:spacing w:before="100" w:beforeAutospacing="1" w:after="100" w:afterAutospacing="1"/>
        <w:ind w:firstLine="360"/>
        <w:rPr>
          <w:sz w:val="18"/>
          <w:szCs w:val="18"/>
        </w:rPr>
      </w:pPr>
      <w:r w:rsidRPr="00265A9E">
        <w:rPr>
          <w:sz w:val="18"/>
          <w:szCs w:val="18"/>
        </w:rPr>
        <w:t>Tablo 2’de ifade edilen klinik durumlarla</w:t>
      </w:r>
      <w:r w:rsidR="00C5026F" w:rsidRPr="00265A9E">
        <w:rPr>
          <w:sz w:val="18"/>
          <w:szCs w:val="18"/>
        </w:rPr>
        <w:t xml:space="preserve"> </w:t>
      </w:r>
      <w:r w:rsidR="00265A9E" w:rsidRPr="00265A9E">
        <w:rPr>
          <w:sz w:val="18"/>
          <w:szCs w:val="18"/>
        </w:rPr>
        <w:t>800690 kodlu</w:t>
      </w:r>
      <w:r w:rsidR="00C5026F" w:rsidRPr="00265A9E">
        <w:rPr>
          <w:sz w:val="18"/>
          <w:szCs w:val="18"/>
        </w:rPr>
        <w:t xml:space="preserve"> “Beyin PET” işleminin bedelinin ödenebilmesi için</w:t>
      </w:r>
      <w:r w:rsidRPr="00265A9E">
        <w:rPr>
          <w:sz w:val="18"/>
          <w:szCs w:val="18"/>
        </w:rPr>
        <w:t xml:space="preserve"> </w:t>
      </w:r>
      <w:r w:rsidR="00C5026F" w:rsidRPr="00265A9E">
        <w:rPr>
          <w:sz w:val="18"/>
          <w:szCs w:val="18"/>
        </w:rPr>
        <w:t>gerekli</w:t>
      </w:r>
      <w:r w:rsidRPr="00265A9E">
        <w:rPr>
          <w:sz w:val="18"/>
          <w:szCs w:val="18"/>
        </w:rPr>
        <w:t xml:space="preserve"> </w:t>
      </w:r>
      <w:proofErr w:type="spellStart"/>
      <w:r w:rsidRPr="00265A9E">
        <w:rPr>
          <w:sz w:val="18"/>
          <w:szCs w:val="18"/>
        </w:rPr>
        <w:t>endikasyonlarını</w:t>
      </w:r>
      <w:proofErr w:type="spellEnd"/>
      <w:r w:rsidR="00C5026F" w:rsidRPr="00265A9E">
        <w:rPr>
          <w:sz w:val="18"/>
          <w:szCs w:val="18"/>
        </w:rPr>
        <w:t>,</w:t>
      </w:r>
      <w:r w:rsidRPr="00265A9E">
        <w:rPr>
          <w:sz w:val="18"/>
          <w:szCs w:val="18"/>
        </w:rPr>
        <w:t xml:space="preserve"> açıklamaları ve sınırlamaları kapsamaktadır. </w:t>
      </w:r>
    </w:p>
    <w:p w:rsidR="005A5B9A" w:rsidRPr="00265A9E" w:rsidRDefault="005A5B9A" w:rsidP="005A5B9A">
      <w:pPr>
        <w:numPr>
          <w:ilvl w:val="0"/>
          <w:numId w:val="40"/>
        </w:numPr>
        <w:spacing w:before="100" w:beforeAutospacing="1" w:after="100" w:afterAutospacing="1"/>
        <w:jc w:val="center"/>
        <w:rPr>
          <w:b/>
          <w:sz w:val="18"/>
          <w:szCs w:val="18"/>
        </w:rPr>
      </w:pPr>
      <w:r w:rsidRPr="00265A9E">
        <w:rPr>
          <w:b/>
          <w:sz w:val="18"/>
          <w:szCs w:val="18"/>
        </w:rPr>
        <w:lastRenderedPageBreak/>
        <w:t>MYOKARD PET</w:t>
      </w:r>
      <w:r w:rsidR="00FC1E3D" w:rsidRPr="00265A9E">
        <w:rPr>
          <w:b/>
          <w:sz w:val="18"/>
          <w:szCs w:val="18"/>
        </w:rPr>
        <w:t xml:space="preserve">, </w:t>
      </w:r>
      <w:proofErr w:type="spellStart"/>
      <w:r w:rsidR="00FC1E3D" w:rsidRPr="00265A9E">
        <w:rPr>
          <w:b/>
          <w:sz w:val="18"/>
          <w:szCs w:val="18"/>
        </w:rPr>
        <w:t>viabilite</w:t>
      </w:r>
      <w:proofErr w:type="spellEnd"/>
      <w:r w:rsidR="00FC1E3D" w:rsidRPr="00265A9E">
        <w:rPr>
          <w:b/>
          <w:sz w:val="18"/>
          <w:szCs w:val="18"/>
        </w:rPr>
        <w:t xml:space="preserve"> çalışması</w:t>
      </w:r>
      <w:r w:rsidRPr="00265A9E">
        <w:rPr>
          <w:b/>
          <w:sz w:val="18"/>
          <w:szCs w:val="18"/>
        </w:rPr>
        <w:t xml:space="preserve"> (SUT KODU 800.840)</w:t>
      </w:r>
    </w:p>
    <w:p w:rsidR="005A5B9A" w:rsidRPr="00265A9E" w:rsidRDefault="005A5B9A" w:rsidP="00C5026F">
      <w:pPr>
        <w:spacing w:before="100" w:beforeAutospacing="1" w:after="100" w:afterAutospacing="1"/>
        <w:ind w:firstLine="360"/>
        <w:jc w:val="both"/>
        <w:rPr>
          <w:sz w:val="18"/>
          <w:szCs w:val="18"/>
        </w:rPr>
      </w:pPr>
      <w:r w:rsidRPr="00265A9E">
        <w:rPr>
          <w:sz w:val="18"/>
          <w:szCs w:val="18"/>
        </w:rPr>
        <w:t xml:space="preserve">Tablo 3’te ifade edilen klinik durumla ilgili </w:t>
      </w:r>
      <w:r w:rsidR="00C5026F" w:rsidRPr="00265A9E">
        <w:rPr>
          <w:sz w:val="18"/>
          <w:szCs w:val="18"/>
        </w:rPr>
        <w:t>800.840 kodlu “</w:t>
      </w:r>
      <w:proofErr w:type="spellStart"/>
      <w:r w:rsidR="00C5026F" w:rsidRPr="00265A9E">
        <w:rPr>
          <w:sz w:val="18"/>
          <w:szCs w:val="18"/>
        </w:rPr>
        <w:t>Miyokard</w:t>
      </w:r>
      <w:proofErr w:type="spellEnd"/>
      <w:r w:rsidR="00C5026F" w:rsidRPr="00265A9E">
        <w:rPr>
          <w:sz w:val="18"/>
          <w:szCs w:val="18"/>
        </w:rPr>
        <w:t xml:space="preserve"> PET</w:t>
      </w:r>
      <w:r w:rsidR="00FC1E3D" w:rsidRPr="00265A9E">
        <w:rPr>
          <w:sz w:val="18"/>
          <w:szCs w:val="18"/>
        </w:rPr>
        <w:t xml:space="preserve">, </w:t>
      </w:r>
      <w:proofErr w:type="spellStart"/>
      <w:r w:rsidR="00FC1E3D" w:rsidRPr="00265A9E">
        <w:rPr>
          <w:sz w:val="18"/>
          <w:szCs w:val="18"/>
        </w:rPr>
        <w:t>viabilite</w:t>
      </w:r>
      <w:proofErr w:type="spellEnd"/>
      <w:r w:rsidR="00FC1E3D" w:rsidRPr="00265A9E">
        <w:rPr>
          <w:sz w:val="18"/>
          <w:szCs w:val="18"/>
        </w:rPr>
        <w:t xml:space="preserve"> çalışması</w:t>
      </w:r>
      <w:r w:rsidR="00C5026F" w:rsidRPr="00265A9E">
        <w:rPr>
          <w:sz w:val="18"/>
          <w:szCs w:val="18"/>
        </w:rPr>
        <w:t>” işleminin bedelinin ödenebilmesi için gerekli</w:t>
      </w:r>
      <w:r w:rsidRPr="00265A9E">
        <w:rPr>
          <w:sz w:val="18"/>
          <w:szCs w:val="18"/>
        </w:rPr>
        <w:t xml:space="preserve"> klinik </w:t>
      </w:r>
      <w:proofErr w:type="spellStart"/>
      <w:r w:rsidRPr="00265A9E">
        <w:rPr>
          <w:sz w:val="18"/>
          <w:szCs w:val="18"/>
        </w:rPr>
        <w:t>endikasyonlarını</w:t>
      </w:r>
      <w:proofErr w:type="spellEnd"/>
      <w:r w:rsidR="00C5026F" w:rsidRPr="00265A9E">
        <w:rPr>
          <w:sz w:val="18"/>
          <w:szCs w:val="18"/>
        </w:rPr>
        <w:t>,</w:t>
      </w:r>
      <w:r w:rsidRPr="00265A9E">
        <w:rPr>
          <w:sz w:val="18"/>
          <w:szCs w:val="18"/>
        </w:rPr>
        <w:t xml:space="preserve"> açıklamaları ve sınırlamaları kapsamaktadır. </w:t>
      </w:r>
    </w:p>
    <w:p w:rsidR="00265A9E" w:rsidRPr="00265A9E" w:rsidRDefault="00265A9E" w:rsidP="00265A9E">
      <w:pPr>
        <w:spacing w:before="100" w:beforeAutospacing="1" w:after="100" w:afterAutospacing="1"/>
        <w:jc w:val="center"/>
        <w:rPr>
          <w:b/>
          <w:sz w:val="18"/>
          <w:szCs w:val="18"/>
        </w:rPr>
      </w:pPr>
      <w:r w:rsidRPr="00265A9E">
        <w:rPr>
          <w:b/>
          <w:sz w:val="18"/>
          <w:szCs w:val="18"/>
        </w:rPr>
        <w:t>D) ONKOLOJİK PET (</w:t>
      </w:r>
      <w:proofErr w:type="spellStart"/>
      <w:r w:rsidRPr="00265A9E">
        <w:rPr>
          <w:b/>
          <w:sz w:val="18"/>
          <w:szCs w:val="18"/>
        </w:rPr>
        <w:t>Ga</w:t>
      </w:r>
      <w:proofErr w:type="spellEnd"/>
      <w:r w:rsidRPr="00265A9E">
        <w:rPr>
          <w:b/>
          <w:sz w:val="18"/>
          <w:szCs w:val="18"/>
        </w:rPr>
        <w:t xml:space="preserve"> 68 İşaretli </w:t>
      </w:r>
      <w:proofErr w:type="spellStart"/>
      <w:r w:rsidRPr="00265A9E">
        <w:rPr>
          <w:b/>
          <w:sz w:val="18"/>
          <w:szCs w:val="18"/>
        </w:rPr>
        <w:t>Somatostatin</w:t>
      </w:r>
      <w:proofErr w:type="spellEnd"/>
      <w:r w:rsidRPr="00265A9E">
        <w:rPr>
          <w:b/>
          <w:sz w:val="18"/>
          <w:szCs w:val="18"/>
        </w:rPr>
        <w:t xml:space="preserve"> Analog </w:t>
      </w:r>
      <w:proofErr w:type="spellStart"/>
      <w:r w:rsidRPr="00265A9E">
        <w:rPr>
          <w:b/>
          <w:sz w:val="18"/>
          <w:szCs w:val="18"/>
        </w:rPr>
        <w:t>Peptidler</w:t>
      </w:r>
      <w:proofErr w:type="spellEnd"/>
      <w:r w:rsidRPr="00265A9E">
        <w:rPr>
          <w:b/>
          <w:sz w:val="18"/>
          <w:szCs w:val="18"/>
        </w:rPr>
        <w:t xml:space="preserve"> İle (DOTA-TATE, DOTA-NOC, DOTA-TOC ve Türevleri)</w:t>
      </w:r>
    </w:p>
    <w:p w:rsidR="00265A9E" w:rsidRPr="00265A9E" w:rsidRDefault="00265A9E" w:rsidP="00265A9E">
      <w:pPr>
        <w:ind w:firstLine="708"/>
        <w:jc w:val="both"/>
        <w:rPr>
          <w:rFonts w:eastAsia="Calibri"/>
          <w:sz w:val="18"/>
          <w:szCs w:val="18"/>
        </w:rPr>
      </w:pPr>
      <w:r w:rsidRPr="00265A9E">
        <w:rPr>
          <w:rFonts w:eastAsia="Calibri"/>
          <w:sz w:val="18"/>
          <w:szCs w:val="18"/>
        </w:rPr>
        <w:t xml:space="preserve">Bu bölüm pozitron yayıcı radyoizotoplar kullanılarak PET, kombine PET/BT veya kombine PET/MR tarayıcı kameralarda yapılan tanısal görüntüleme işlemlerini kapsar. </w:t>
      </w:r>
    </w:p>
    <w:p w:rsidR="00265A9E" w:rsidRPr="00265A9E" w:rsidRDefault="00265A9E" w:rsidP="00265A9E">
      <w:pPr>
        <w:ind w:firstLine="708"/>
        <w:jc w:val="both"/>
        <w:rPr>
          <w:rFonts w:eastAsia="Calibri"/>
          <w:sz w:val="18"/>
          <w:szCs w:val="18"/>
        </w:rPr>
      </w:pPr>
      <w:r w:rsidRPr="00265A9E">
        <w:rPr>
          <w:rFonts w:eastAsia="Calibri"/>
          <w:sz w:val="18"/>
          <w:szCs w:val="18"/>
        </w:rPr>
        <w:t xml:space="preserve">801.364 kodlu “Onkolojik PET, Ga-68 ile işaretli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w:t>
      </w:r>
      <w:proofErr w:type="spellEnd"/>
      <w:r w:rsidRPr="00265A9E">
        <w:rPr>
          <w:rFonts w:eastAsia="Calibri"/>
          <w:sz w:val="18"/>
          <w:szCs w:val="18"/>
        </w:rPr>
        <w:t xml:space="preserve"> (DOTA-TATE, DOTA-NOC, DOTA-TOC ve türevleri)” bedelinin ödenebilmesi için Tablo 4’te ifade edilen klinik durumlar ve aşağıdaki tanım ve şartlara uygun biçimde istenilmesi ve yapılması gereklidir.</w:t>
      </w:r>
    </w:p>
    <w:p w:rsidR="00265A9E" w:rsidRPr="00265A9E" w:rsidRDefault="00265A9E" w:rsidP="00265A9E">
      <w:pPr>
        <w:jc w:val="both"/>
        <w:rPr>
          <w:rFonts w:eastAsia="Calibri"/>
          <w:b/>
          <w:sz w:val="18"/>
          <w:szCs w:val="18"/>
          <w:u w:val="single"/>
        </w:rPr>
      </w:pPr>
    </w:p>
    <w:p w:rsidR="00265A9E" w:rsidRPr="00265A9E" w:rsidRDefault="00265A9E" w:rsidP="00265A9E">
      <w:pPr>
        <w:ind w:firstLine="709"/>
        <w:jc w:val="both"/>
        <w:rPr>
          <w:rFonts w:eastAsia="Calibri"/>
          <w:b/>
          <w:sz w:val="18"/>
          <w:szCs w:val="18"/>
          <w:u w:val="single"/>
        </w:rPr>
      </w:pPr>
      <w:r w:rsidRPr="00265A9E">
        <w:rPr>
          <w:rFonts w:eastAsia="Calibri"/>
          <w:b/>
          <w:sz w:val="18"/>
          <w:szCs w:val="18"/>
          <w:u w:val="single"/>
        </w:rPr>
        <w:t xml:space="preserve">1. Klinik </w:t>
      </w:r>
      <w:proofErr w:type="spellStart"/>
      <w:r w:rsidRPr="00265A9E">
        <w:rPr>
          <w:rFonts w:eastAsia="Calibri"/>
          <w:b/>
          <w:sz w:val="18"/>
          <w:szCs w:val="18"/>
          <w:u w:val="single"/>
        </w:rPr>
        <w:t>endikasvonlar</w:t>
      </w:r>
      <w:proofErr w:type="spellEnd"/>
      <w:r w:rsidRPr="00265A9E">
        <w:rPr>
          <w:rFonts w:eastAsia="Calibri"/>
          <w:b/>
          <w:sz w:val="18"/>
          <w:szCs w:val="18"/>
          <w:u w:val="single"/>
        </w:rPr>
        <w:t xml:space="preserve"> ile ilgili şartlar: </w:t>
      </w:r>
    </w:p>
    <w:p w:rsidR="00265A9E" w:rsidRPr="00265A9E" w:rsidRDefault="00265A9E" w:rsidP="00265A9E">
      <w:pPr>
        <w:numPr>
          <w:ilvl w:val="0"/>
          <w:numId w:val="41"/>
        </w:numPr>
        <w:tabs>
          <w:tab w:val="left" w:pos="993"/>
        </w:tabs>
        <w:spacing w:after="160" w:line="259" w:lineRule="auto"/>
        <w:ind w:left="0" w:firstLine="709"/>
        <w:contextualSpacing/>
        <w:jc w:val="both"/>
        <w:rPr>
          <w:rFonts w:eastAsia="Calibri"/>
          <w:sz w:val="18"/>
          <w:szCs w:val="18"/>
        </w:rPr>
      </w:pPr>
      <w:r w:rsidRPr="00265A9E">
        <w:rPr>
          <w:rFonts w:eastAsia="Calibri"/>
          <w:sz w:val="18"/>
          <w:szCs w:val="18"/>
        </w:rPr>
        <w:t xml:space="preserve">Tanı amaçlı </w:t>
      </w:r>
      <w:proofErr w:type="spellStart"/>
      <w:r w:rsidRPr="00265A9E">
        <w:rPr>
          <w:rFonts w:eastAsia="Calibri"/>
          <w:sz w:val="18"/>
          <w:szCs w:val="18"/>
        </w:rPr>
        <w:t>Ga</w:t>
      </w:r>
      <w:proofErr w:type="spellEnd"/>
      <w:r w:rsidRPr="00265A9E">
        <w:rPr>
          <w:rFonts w:eastAsia="Calibri"/>
          <w:sz w:val="18"/>
          <w:szCs w:val="18"/>
        </w:rPr>
        <w:t xml:space="preserve"> 68 işaretli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w:t>
      </w:r>
      <w:proofErr w:type="spellEnd"/>
      <w:r w:rsidRPr="00265A9E">
        <w:rPr>
          <w:rFonts w:eastAsia="Calibri"/>
          <w:sz w:val="18"/>
          <w:szCs w:val="18"/>
        </w:rPr>
        <w:t xml:space="preserve"> günümüzde </w:t>
      </w:r>
      <w:proofErr w:type="spellStart"/>
      <w:r w:rsidRPr="00265A9E">
        <w:rPr>
          <w:rFonts w:eastAsia="Calibri"/>
          <w:sz w:val="18"/>
          <w:szCs w:val="18"/>
        </w:rPr>
        <w:t>somatostatin</w:t>
      </w:r>
      <w:proofErr w:type="spellEnd"/>
      <w:r w:rsidRPr="00265A9E">
        <w:rPr>
          <w:rFonts w:eastAsia="Calibri"/>
          <w:sz w:val="18"/>
          <w:szCs w:val="18"/>
        </w:rPr>
        <w:t xml:space="preserve"> reseptörü içeren </w:t>
      </w:r>
      <w:proofErr w:type="spellStart"/>
      <w:r w:rsidRPr="00265A9E">
        <w:rPr>
          <w:rFonts w:eastAsia="Calibri"/>
          <w:sz w:val="18"/>
          <w:szCs w:val="18"/>
        </w:rPr>
        <w:t>nöroendokrin</w:t>
      </w:r>
      <w:proofErr w:type="spellEnd"/>
      <w:r w:rsidRPr="00265A9E">
        <w:rPr>
          <w:rFonts w:eastAsia="Calibri"/>
          <w:sz w:val="18"/>
          <w:szCs w:val="18"/>
        </w:rPr>
        <w:t xml:space="preserve"> tümörlerde kullanılmaktadır. </w:t>
      </w:r>
      <w:proofErr w:type="spellStart"/>
      <w:r w:rsidRPr="00265A9E">
        <w:rPr>
          <w:rFonts w:eastAsia="Calibri"/>
          <w:sz w:val="18"/>
          <w:szCs w:val="18"/>
        </w:rPr>
        <w:t>Nöroendokrin</w:t>
      </w:r>
      <w:proofErr w:type="spellEnd"/>
      <w:r w:rsidRPr="00265A9E">
        <w:rPr>
          <w:rFonts w:eastAsia="Calibri"/>
          <w:sz w:val="18"/>
          <w:szCs w:val="18"/>
        </w:rPr>
        <w:t xml:space="preserve"> tümör </w:t>
      </w:r>
      <w:proofErr w:type="spellStart"/>
      <w:r w:rsidRPr="00265A9E">
        <w:rPr>
          <w:rFonts w:eastAsia="Calibri"/>
          <w:sz w:val="18"/>
          <w:szCs w:val="18"/>
        </w:rPr>
        <w:t>histopatolojik</w:t>
      </w:r>
      <w:proofErr w:type="spellEnd"/>
      <w:r w:rsidRPr="00265A9E">
        <w:rPr>
          <w:rFonts w:eastAsia="Calibri"/>
          <w:sz w:val="18"/>
          <w:szCs w:val="18"/>
        </w:rPr>
        <w:t xml:space="preserve"> tanısının konmuş veya hastalığın varlığının kuvvetli şüphesi olması durumunda (</w:t>
      </w:r>
      <w:proofErr w:type="spellStart"/>
      <w:r w:rsidRPr="00265A9E">
        <w:rPr>
          <w:rFonts w:eastAsia="Calibri"/>
          <w:sz w:val="18"/>
          <w:szCs w:val="18"/>
        </w:rPr>
        <w:t>karsinoid</w:t>
      </w:r>
      <w:proofErr w:type="spellEnd"/>
      <w:r w:rsidRPr="00265A9E">
        <w:rPr>
          <w:rFonts w:eastAsia="Calibri"/>
          <w:sz w:val="18"/>
          <w:szCs w:val="18"/>
        </w:rPr>
        <w:t xml:space="preserve"> sendrom tanısı, </w:t>
      </w:r>
      <w:proofErr w:type="spellStart"/>
      <w:r w:rsidRPr="00265A9E">
        <w:rPr>
          <w:rFonts w:eastAsia="Calibri"/>
          <w:sz w:val="18"/>
          <w:szCs w:val="18"/>
        </w:rPr>
        <w:t>kalsitonin</w:t>
      </w:r>
      <w:proofErr w:type="spellEnd"/>
      <w:r w:rsidRPr="00265A9E">
        <w:rPr>
          <w:rFonts w:eastAsia="Calibri"/>
          <w:sz w:val="18"/>
          <w:szCs w:val="18"/>
        </w:rPr>
        <w:t xml:space="preserve"> yüksekliği, </w:t>
      </w:r>
      <w:proofErr w:type="spellStart"/>
      <w:r w:rsidRPr="00265A9E">
        <w:rPr>
          <w:rFonts w:eastAsia="Calibri"/>
          <w:sz w:val="18"/>
          <w:szCs w:val="18"/>
        </w:rPr>
        <w:t>insülinoma</w:t>
      </w:r>
      <w:proofErr w:type="spellEnd"/>
      <w:r w:rsidRPr="00265A9E">
        <w:rPr>
          <w:rFonts w:eastAsia="Calibri"/>
          <w:sz w:val="18"/>
          <w:szCs w:val="18"/>
        </w:rPr>
        <w:t xml:space="preserve"> tanısı gibi) </w:t>
      </w:r>
      <w:proofErr w:type="spellStart"/>
      <w:r w:rsidRPr="00265A9E">
        <w:rPr>
          <w:rFonts w:eastAsia="Calibri"/>
          <w:sz w:val="18"/>
          <w:szCs w:val="18"/>
        </w:rPr>
        <w:t>Ga</w:t>
      </w:r>
      <w:proofErr w:type="spellEnd"/>
      <w:r w:rsidRPr="00265A9E">
        <w:rPr>
          <w:rFonts w:eastAsia="Calibri"/>
          <w:sz w:val="18"/>
          <w:szCs w:val="18"/>
        </w:rPr>
        <w:t xml:space="preserve"> 68 işaretli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peptidlerle</w:t>
      </w:r>
      <w:proofErr w:type="spellEnd"/>
      <w:r w:rsidRPr="00265A9E">
        <w:rPr>
          <w:rFonts w:eastAsia="Calibri"/>
          <w:sz w:val="18"/>
          <w:szCs w:val="18"/>
        </w:rPr>
        <w:t xml:space="preserve"> PET görüntüleme yapılır. Tanıya yönelik </w:t>
      </w:r>
      <w:proofErr w:type="spellStart"/>
      <w:r w:rsidRPr="00265A9E">
        <w:rPr>
          <w:rFonts w:eastAsia="Calibri"/>
          <w:sz w:val="18"/>
          <w:szCs w:val="18"/>
        </w:rPr>
        <w:t>endikasyonlarda</w:t>
      </w:r>
      <w:proofErr w:type="spellEnd"/>
      <w:r w:rsidRPr="00265A9E">
        <w:rPr>
          <w:rFonts w:eastAsia="Calibri"/>
          <w:sz w:val="18"/>
          <w:szCs w:val="18"/>
        </w:rPr>
        <w:t xml:space="preserve"> PET sonuçlarının </w:t>
      </w:r>
      <w:proofErr w:type="spellStart"/>
      <w:r w:rsidRPr="00265A9E">
        <w:rPr>
          <w:rFonts w:eastAsia="Calibri"/>
          <w:sz w:val="18"/>
          <w:szCs w:val="18"/>
        </w:rPr>
        <w:t>invaziv</w:t>
      </w:r>
      <w:proofErr w:type="spellEnd"/>
      <w:r w:rsidRPr="00265A9E">
        <w:rPr>
          <w:rFonts w:eastAsia="Calibri"/>
          <w:sz w:val="18"/>
          <w:szCs w:val="18"/>
        </w:rPr>
        <w:t xml:space="preserve"> bir tanısal işlemin yapılmasını önlemeye yardımcı olması ya da PET sonuçlarının </w:t>
      </w:r>
      <w:proofErr w:type="spellStart"/>
      <w:r w:rsidRPr="00265A9E">
        <w:rPr>
          <w:rFonts w:eastAsia="Calibri"/>
          <w:sz w:val="18"/>
          <w:szCs w:val="18"/>
        </w:rPr>
        <w:t>invaziv</w:t>
      </w:r>
      <w:proofErr w:type="spellEnd"/>
      <w:r w:rsidRPr="00265A9E">
        <w:rPr>
          <w:rFonts w:eastAsia="Calibri"/>
          <w:sz w:val="18"/>
          <w:szCs w:val="18"/>
        </w:rPr>
        <w:t xml:space="preserve"> tanısal bir işlem için yol gösterici olması (örneğin heterojen ve büyük kitlelerde ya da yeri belirlenemeyen tümörlerde biyopsi yerinin belirlenmesi) esası aranır. Bunların dışındaki tanısal uygulamalarda ve özellikle kanser tarama amaçlı PET kullanımı halinde bedelleri ödenmez.</w:t>
      </w:r>
    </w:p>
    <w:p w:rsidR="00265A9E" w:rsidRPr="00265A9E" w:rsidRDefault="00265A9E" w:rsidP="00265A9E">
      <w:pPr>
        <w:numPr>
          <w:ilvl w:val="0"/>
          <w:numId w:val="41"/>
        </w:numPr>
        <w:tabs>
          <w:tab w:val="left" w:pos="993"/>
        </w:tabs>
        <w:spacing w:after="160" w:line="259" w:lineRule="auto"/>
        <w:ind w:left="0" w:firstLine="709"/>
        <w:contextualSpacing/>
        <w:jc w:val="both"/>
        <w:rPr>
          <w:rFonts w:eastAsia="Calibri"/>
          <w:sz w:val="18"/>
          <w:szCs w:val="18"/>
        </w:rPr>
      </w:pPr>
      <w:proofErr w:type="spellStart"/>
      <w:r w:rsidRPr="00265A9E">
        <w:rPr>
          <w:rFonts w:eastAsia="Calibri"/>
          <w:sz w:val="18"/>
          <w:szCs w:val="18"/>
        </w:rPr>
        <w:t>Evreleme</w:t>
      </w:r>
      <w:proofErr w:type="spellEnd"/>
      <w:r w:rsidRPr="00265A9E">
        <w:rPr>
          <w:rFonts w:eastAsia="Calibri"/>
          <w:sz w:val="18"/>
          <w:szCs w:val="18"/>
        </w:rPr>
        <w:t xml:space="preserve">, kanser tanısı almış hastalarda hastalığın yaygınlığının belirlenmesini ifade eder. </w:t>
      </w:r>
      <w:proofErr w:type="spellStart"/>
      <w:r w:rsidRPr="00265A9E">
        <w:rPr>
          <w:rFonts w:eastAsia="Calibri"/>
          <w:sz w:val="18"/>
          <w:szCs w:val="18"/>
        </w:rPr>
        <w:t>Ga</w:t>
      </w:r>
      <w:proofErr w:type="spellEnd"/>
      <w:r w:rsidRPr="00265A9E">
        <w:rPr>
          <w:rFonts w:eastAsia="Calibri"/>
          <w:sz w:val="18"/>
          <w:szCs w:val="18"/>
        </w:rPr>
        <w:t xml:space="preserve"> 68 işaretli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peptidlerle</w:t>
      </w:r>
      <w:proofErr w:type="spellEnd"/>
      <w:r w:rsidRPr="00265A9E">
        <w:rPr>
          <w:rFonts w:eastAsia="Calibri"/>
          <w:sz w:val="18"/>
          <w:szCs w:val="18"/>
        </w:rPr>
        <w:t xml:space="preserve"> PET görüntüleme, sadece </w:t>
      </w:r>
      <w:proofErr w:type="spellStart"/>
      <w:r w:rsidRPr="00265A9E">
        <w:rPr>
          <w:rFonts w:eastAsia="Calibri"/>
          <w:sz w:val="18"/>
          <w:szCs w:val="18"/>
        </w:rPr>
        <w:t>somatostatin</w:t>
      </w:r>
      <w:proofErr w:type="spellEnd"/>
      <w:r w:rsidRPr="00265A9E">
        <w:rPr>
          <w:rFonts w:eastAsia="Calibri"/>
          <w:sz w:val="18"/>
          <w:szCs w:val="18"/>
        </w:rPr>
        <w:t xml:space="preserve"> reseptörü içeren tümörlerde (Tablo 4) </w:t>
      </w:r>
      <w:proofErr w:type="spellStart"/>
      <w:r w:rsidRPr="00265A9E">
        <w:rPr>
          <w:rFonts w:eastAsia="Calibri"/>
          <w:sz w:val="18"/>
          <w:szCs w:val="18"/>
        </w:rPr>
        <w:t>evreleme</w:t>
      </w:r>
      <w:proofErr w:type="spellEnd"/>
      <w:r w:rsidRPr="00265A9E">
        <w:rPr>
          <w:rFonts w:eastAsia="Calibri"/>
          <w:sz w:val="18"/>
          <w:szCs w:val="18"/>
        </w:rPr>
        <w:t xml:space="preserve"> amaçlı uygulanabilir. </w:t>
      </w:r>
      <w:proofErr w:type="spellStart"/>
      <w:r w:rsidRPr="00265A9E">
        <w:rPr>
          <w:rFonts w:eastAsia="Calibri"/>
          <w:sz w:val="18"/>
          <w:szCs w:val="18"/>
        </w:rPr>
        <w:t>Evreleme</w:t>
      </w:r>
      <w:proofErr w:type="spellEnd"/>
      <w:r w:rsidRPr="00265A9E">
        <w:rPr>
          <w:rFonts w:eastAsia="Calibri"/>
          <w:sz w:val="18"/>
          <w:szCs w:val="18"/>
        </w:rPr>
        <w:t xml:space="preserve"> amaçlı PET </w:t>
      </w:r>
      <w:proofErr w:type="spellStart"/>
      <w:r w:rsidRPr="00265A9E">
        <w:rPr>
          <w:rFonts w:eastAsia="Calibri"/>
          <w:sz w:val="18"/>
          <w:szCs w:val="18"/>
        </w:rPr>
        <w:t>endikasyonu</w:t>
      </w:r>
      <w:proofErr w:type="spellEnd"/>
      <w:r w:rsidRPr="00265A9E">
        <w:rPr>
          <w:rFonts w:eastAsia="Calibri"/>
          <w:sz w:val="18"/>
          <w:szCs w:val="18"/>
        </w:rPr>
        <w:t xml:space="preserve"> olan ve RT uygulanması düşünülen hastalarda RT planlama </w:t>
      </w:r>
      <w:proofErr w:type="spellStart"/>
      <w:r w:rsidRPr="00265A9E">
        <w:rPr>
          <w:rFonts w:eastAsia="Calibri"/>
          <w:sz w:val="18"/>
          <w:szCs w:val="18"/>
        </w:rPr>
        <w:t>endikasyonu</w:t>
      </w:r>
      <w:proofErr w:type="spellEnd"/>
      <w:r w:rsidRPr="00265A9E">
        <w:rPr>
          <w:rFonts w:eastAsia="Calibri"/>
          <w:sz w:val="18"/>
          <w:szCs w:val="18"/>
        </w:rPr>
        <w:t xml:space="preserve"> ile de yapılabilir. </w:t>
      </w:r>
    </w:p>
    <w:p w:rsidR="00265A9E" w:rsidRPr="00265A9E" w:rsidRDefault="00265A9E" w:rsidP="00265A9E">
      <w:pPr>
        <w:numPr>
          <w:ilvl w:val="0"/>
          <w:numId w:val="41"/>
        </w:numPr>
        <w:tabs>
          <w:tab w:val="left" w:pos="993"/>
        </w:tabs>
        <w:spacing w:after="160" w:line="259" w:lineRule="auto"/>
        <w:ind w:left="0" w:firstLine="709"/>
        <w:contextualSpacing/>
        <w:jc w:val="both"/>
        <w:rPr>
          <w:rFonts w:eastAsia="Calibri"/>
          <w:sz w:val="18"/>
          <w:szCs w:val="18"/>
        </w:rPr>
      </w:pPr>
      <w:r w:rsidRPr="00265A9E">
        <w:rPr>
          <w:rFonts w:eastAsia="Calibri"/>
          <w:sz w:val="18"/>
          <w:szCs w:val="18"/>
        </w:rPr>
        <w:t xml:space="preserve">Yeniden </w:t>
      </w:r>
      <w:proofErr w:type="spellStart"/>
      <w:r w:rsidRPr="00265A9E">
        <w:rPr>
          <w:rFonts w:eastAsia="Calibri"/>
          <w:sz w:val="18"/>
          <w:szCs w:val="18"/>
        </w:rPr>
        <w:t>evreleme</w:t>
      </w:r>
      <w:proofErr w:type="spellEnd"/>
      <w:r w:rsidRPr="00265A9E">
        <w:rPr>
          <w:rFonts w:eastAsia="Calibri"/>
          <w:sz w:val="18"/>
          <w:szCs w:val="18"/>
        </w:rPr>
        <w:t xml:space="preserve">, kanserin ilk tedaviden sonraki takip aşamasında herhangi bir </w:t>
      </w:r>
      <w:proofErr w:type="spellStart"/>
      <w:r w:rsidRPr="00265A9E">
        <w:rPr>
          <w:rFonts w:eastAsia="Calibri"/>
          <w:sz w:val="18"/>
          <w:szCs w:val="18"/>
        </w:rPr>
        <w:t>nüks</w:t>
      </w:r>
      <w:proofErr w:type="spellEnd"/>
      <w:r w:rsidRPr="00265A9E">
        <w:rPr>
          <w:rFonts w:eastAsia="Calibri"/>
          <w:sz w:val="18"/>
          <w:szCs w:val="18"/>
        </w:rPr>
        <w:t xml:space="preserve"> (</w:t>
      </w:r>
      <w:proofErr w:type="spellStart"/>
      <w:r w:rsidRPr="00265A9E">
        <w:rPr>
          <w:rFonts w:eastAsia="Calibri"/>
          <w:sz w:val="18"/>
          <w:szCs w:val="18"/>
        </w:rPr>
        <w:t>rekürrens</w:t>
      </w:r>
      <w:proofErr w:type="spellEnd"/>
      <w:r w:rsidRPr="00265A9E">
        <w:rPr>
          <w:rFonts w:eastAsia="Calibri"/>
          <w:sz w:val="18"/>
          <w:szCs w:val="18"/>
        </w:rPr>
        <w:t xml:space="preserve">) saptanması veya </w:t>
      </w:r>
      <w:proofErr w:type="spellStart"/>
      <w:r w:rsidRPr="00265A9E">
        <w:rPr>
          <w:rFonts w:eastAsia="Calibri"/>
          <w:sz w:val="18"/>
          <w:szCs w:val="18"/>
        </w:rPr>
        <w:t>rekürrens</w:t>
      </w:r>
      <w:proofErr w:type="spellEnd"/>
      <w:r w:rsidRPr="00265A9E">
        <w:rPr>
          <w:rFonts w:eastAsia="Calibri"/>
          <w:sz w:val="18"/>
          <w:szCs w:val="18"/>
        </w:rPr>
        <w:t xml:space="preserve"> lehine bulgular olması durumunda başka metastazların olup olmadığını araştırmaya ya da hastalığın yaygınlığını göstermeye yönelik bir ifadedir.</w:t>
      </w:r>
    </w:p>
    <w:p w:rsidR="00265A9E" w:rsidRPr="00265A9E" w:rsidRDefault="00265A9E" w:rsidP="00265A9E">
      <w:pPr>
        <w:numPr>
          <w:ilvl w:val="0"/>
          <w:numId w:val="41"/>
        </w:numPr>
        <w:tabs>
          <w:tab w:val="left" w:pos="993"/>
        </w:tabs>
        <w:spacing w:after="160" w:line="259" w:lineRule="auto"/>
        <w:ind w:left="0" w:firstLine="709"/>
        <w:contextualSpacing/>
        <w:jc w:val="both"/>
        <w:rPr>
          <w:rFonts w:eastAsia="Calibri"/>
          <w:sz w:val="18"/>
          <w:szCs w:val="18"/>
        </w:rPr>
      </w:pPr>
      <w:r w:rsidRPr="00265A9E">
        <w:rPr>
          <w:rFonts w:eastAsia="Calibri"/>
          <w:sz w:val="18"/>
          <w:szCs w:val="18"/>
        </w:rPr>
        <w:t xml:space="preserve">Tedaviye yanıtın değerlendirilmesi KT veya </w:t>
      </w:r>
      <w:proofErr w:type="spellStart"/>
      <w:r w:rsidRPr="00265A9E">
        <w:rPr>
          <w:rFonts w:eastAsia="Calibri"/>
          <w:sz w:val="18"/>
          <w:szCs w:val="18"/>
        </w:rPr>
        <w:t>RT’nin</w:t>
      </w:r>
      <w:proofErr w:type="spellEnd"/>
      <w:r w:rsidRPr="00265A9E">
        <w:rPr>
          <w:rFonts w:eastAsia="Calibri"/>
          <w:sz w:val="18"/>
          <w:szCs w:val="18"/>
        </w:rPr>
        <w:t xml:space="preserve"> tamamlanmasından sonra tümörün verdiği yanıtı araştırmaya yönelik bir ifadedir. Kemoterapi tamamlandıktan sonra en erken 2 (iki) hafta, radyoterapi tamamlandıktan sonra ise en erken 6 (altı) hafta geçmiş olması gereklidir. </w:t>
      </w:r>
    </w:p>
    <w:p w:rsidR="00265A9E" w:rsidRPr="00265A9E" w:rsidRDefault="00265A9E" w:rsidP="00265A9E">
      <w:pPr>
        <w:numPr>
          <w:ilvl w:val="0"/>
          <w:numId w:val="41"/>
        </w:numPr>
        <w:tabs>
          <w:tab w:val="left" w:pos="993"/>
        </w:tabs>
        <w:spacing w:after="160" w:line="259" w:lineRule="auto"/>
        <w:ind w:left="0" w:firstLine="709"/>
        <w:contextualSpacing/>
        <w:jc w:val="both"/>
        <w:rPr>
          <w:rFonts w:eastAsia="Calibri"/>
          <w:sz w:val="18"/>
          <w:szCs w:val="18"/>
        </w:rPr>
      </w:pPr>
      <w:proofErr w:type="spellStart"/>
      <w:r w:rsidRPr="00265A9E">
        <w:rPr>
          <w:rFonts w:eastAsia="Calibri"/>
          <w:sz w:val="18"/>
          <w:szCs w:val="18"/>
        </w:rPr>
        <w:t>Radyonüklid</w:t>
      </w:r>
      <w:proofErr w:type="spellEnd"/>
      <w:r w:rsidRPr="00265A9E">
        <w:rPr>
          <w:rFonts w:eastAsia="Calibri"/>
          <w:sz w:val="18"/>
          <w:szCs w:val="18"/>
        </w:rPr>
        <w:t xml:space="preserve"> tedavi sonrası yanıt değerlendirme, hedefe yönelik Y-90, Lu-177 gibi </w:t>
      </w:r>
      <w:proofErr w:type="spellStart"/>
      <w:r w:rsidRPr="00265A9E">
        <w:rPr>
          <w:rFonts w:eastAsia="Calibri"/>
          <w:sz w:val="18"/>
          <w:szCs w:val="18"/>
        </w:rPr>
        <w:t>terapötik</w:t>
      </w:r>
      <w:proofErr w:type="spellEnd"/>
      <w:r w:rsidRPr="00265A9E">
        <w:rPr>
          <w:rFonts w:eastAsia="Calibri"/>
          <w:sz w:val="18"/>
          <w:szCs w:val="18"/>
        </w:rPr>
        <w:t xml:space="preserve"> işaretli bileşikler ile tedavi gören hastalarda tümörün verdiği yanıtı araştırmaya yönelik bir ifadedir. Bu amaçla PET </w:t>
      </w:r>
      <w:proofErr w:type="spellStart"/>
      <w:r w:rsidRPr="00265A9E">
        <w:rPr>
          <w:rFonts w:eastAsia="Calibri"/>
          <w:sz w:val="18"/>
          <w:szCs w:val="18"/>
        </w:rPr>
        <w:t>endikasyonu</w:t>
      </w:r>
      <w:proofErr w:type="spellEnd"/>
      <w:r w:rsidRPr="00265A9E">
        <w:rPr>
          <w:rFonts w:eastAsia="Calibri"/>
          <w:sz w:val="18"/>
          <w:szCs w:val="18"/>
        </w:rPr>
        <w:t xml:space="preserve"> konması için </w:t>
      </w:r>
      <w:proofErr w:type="spellStart"/>
      <w:r w:rsidRPr="00265A9E">
        <w:rPr>
          <w:rFonts w:eastAsia="Calibri"/>
          <w:sz w:val="18"/>
          <w:szCs w:val="18"/>
        </w:rPr>
        <w:t>Radyonüklid</w:t>
      </w:r>
      <w:proofErr w:type="spellEnd"/>
      <w:r w:rsidRPr="00265A9E">
        <w:rPr>
          <w:rFonts w:eastAsia="Calibri"/>
          <w:sz w:val="18"/>
          <w:szCs w:val="18"/>
        </w:rPr>
        <w:t xml:space="preserve"> tedavi sonrası en erken 4 (dört) hafta geçmiş olması gereklidir.</w:t>
      </w:r>
    </w:p>
    <w:p w:rsidR="00265A9E" w:rsidRPr="00265A9E" w:rsidRDefault="00265A9E" w:rsidP="00265A9E">
      <w:pPr>
        <w:jc w:val="both"/>
        <w:rPr>
          <w:rFonts w:eastAsia="Calibri"/>
          <w:sz w:val="18"/>
          <w:szCs w:val="18"/>
        </w:rPr>
      </w:pPr>
    </w:p>
    <w:p w:rsidR="00265A9E" w:rsidRPr="00265A9E" w:rsidRDefault="00265A9E" w:rsidP="00265A9E">
      <w:pPr>
        <w:ind w:firstLine="709"/>
        <w:jc w:val="both"/>
        <w:rPr>
          <w:rFonts w:eastAsia="Calibri"/>
          <w:b/>
          <w:sz w:val="18"/>
          <w:szCs w:val="18"/>
          <w:u w:val="single"/>
        </w:rPr>
      </w:pPr>
      <w:r w:rsidRPr="00265A9E">
        <w:rPr>
          <w:rFonts w:eastAsia="Calibri"/>
          <w:b/>
          <w:sz w:val="18"/>
          <w:szCs w:val="18"/>
          <w:u w:val="single"/>
        </w:rPr>
        <w:t>2.Diğer şartlar:</w:t>
      </w:r>
    </w:p>
    <w:p w:rsidR="00265A9E" w:rsidRPr="00265A9E" w:rsidRDefault="00265A9E" w:rsidP="00265A9E">
      <w:pPr>
        <w:numPr>
          <w:ilvl w:val="0"/>
          <w:numId w:val="42"/>
        </w:numPr>
        <w:tabs>
          <w:tab w:val="left" w:pos="993"/>
        </w:tabs>
        <w:spacing w:after="160" w:line="259" w:lineRule="auto"/>
        <w:ind w:left="0" w:firstLine="709"/>
        <w:contextualSpacing/>
        <w:jc w:val="both"/>
        <w:rPr>
          <w:sz w:val="18"/>
          <w:szCs w:val="18"/>
        </w:rPr>
      </w:pPr>
      <w:r w:rsidRPr="00265A9E">
        <w:rPr>
          <w:sz w:val="18"/>
          <w:szCs w:val="18"/>
        </w:rPr>
        <w:t xml:space="preserve">PET çalışmasının tekrar yapılabilmesi için bir önceki PET çalışmasından sonra asgari 3 (üç) ay süre geçmiş olma şartı aranır. Ancak kanser tedavisi yanıtının belirlenmesi amacıyla ve </w:t>
      </w:r>
      <w:proofErr w:type="spellStart"/>
      <w:r w:rsidRPr="00265A9E">
        <w:rPr>
          <w:sz w:val="18"/>
          <w:szCs w:val="18"/>
        </w:rPr>
        <w:t>nüks</w:t>
      </w:r>
      <w:proofErr w:type="spellEnd"/>
      <w:r w:rsidRPr="00265A9E">
        <w:rPr>
          <w:sz w:val="18"/>
          <w:szCs w:val="18"/>
        </w:rPr>
        <w:t xml:space="preserve"> şüphesi nedeniyle erken dönemde yapılacak PET çalışmaları için </w:t>
      </w:r>
      <w:r w:rsidRPr="00265A9E">
        <w:rPr>
          <w:rFonts w:eastAsia="Calibri"/>
          <w:sz w:val="18"/>
          <w:szCs w:val="18"/>
        </w:rPr>
        <w:t>raporunda ayrıntılı gerekçe belirtilmesi halinde</w:t>
      </w:r>
      <w:r w:rsidRPr="00265A9E">
        <w:rPr>
          <w:sz w:val="18"/>
          <w:szCs w:val="18"/>
        </w:rPr>
        <w:t xml:space="preserve"> bu şart aranmaz.</w:t>
      </w:r>
    </w:p>
    <w:p w:rsidR="00265A9E" w:rsidRPr="00265A9E" w:rsidRDefault="00265A9E" w:rsidP="00265A9E">
      <w:pPr>
        <w:numPr>
          <w:ilvl w:val="0"/>
          <w:numId w:val="42"/>
        </w:numPr>
        <w:tabs>
          <w:tab w:val="left" w:pos="993"/>
        </w:tabs>
        <w:spacing w:after="160" w:line="259" w:lineRule="auto"/>
        <w:ind w:left="0" w:firstLine="709"/>
        <w:contextualSpacing/>
        <w:jc w:val="both"/>
        <w:rPr>
          <w:rFonts w:eastAsia="Calibri"/>
          <w:sz w:val="18"/>
          <w:szCs w:val="18"/>
        </w:rPr>
      </w:pPr>
      <w:r w:rsidRPr="00265A9E">
        <w:rPr>
          <w:rFonts w:eastAsia="Calibri"/>
          <w:sz w:val="18"/>
          <w:szCs w:val="18"/>
        </w:rPr>
        <w:t xml:space="preserve">Onkolojik amaçlı yapılan </w:t>
      </w:r>
      <w:proofErr w:type="spellStart"/>
      <w:r w:rsidRPr="00265A9E">
        <w:rPr>
          <w:rFonts w:eastAsia="Calibri"/>
          <w:sz w:val="18"/>
          <w:szCs w:val="18"/>
        </w:rPr>
        <w:t>Ga</w:t>
      </w:r>
      <w:proofErr w:type="spellEnd"/>
      <w:r w:rsidRPr="00265A9E">
        <w:rPr>
          <w:rFonts w:eastAsia="Calibri"/>
          <w:sz w:val="18"/>
          <w:szCs w:val="18"/>
        </w:rPr>
        <w:t xml:space="preserve"> 68 işaretli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peptidlerle</w:t>
      </w:r>
      <w:proofErr w:type="spellEnd"/>
      <w:r w:rsidRPr="00265A9E">
        <w:rPr>
          <w:rFonts w:eastAsia="Calibri"/>
          <w:sz w:val="18"/>
          <w:szCs w:val="18"/>
        </w:rPr>
        <w:t xml:space="preserve"> PET çalışmalarında tüm vücut tarama yapılır. Tüm vücut PET görüntüleme, kafa tabanı ile uyluk üst kısımlarına kadar olan mesafeyi kapsar. Ayrıca klinik muayene veya diğer görüntüleme yöntemlerinde </w:t>
      </w:r>
      <w:proofErr w:type="spellStart"/>
      <w:r w:rsidRPr="00265A9E">
        <w:rPr>
          <w:rFonts w:eastAsia="Calibri"/>
          <w:sz w:val="18"/>
          <w:szCs w:val="18"/>
        </w:rPr>
        <w:t>kraniyal</w:t>
      </w:r>
      <w:proofErr w:type="spellEnd"/>
      <w:r w:rsidRPr="00265A9E">
        <w:rPr>
          <w:rFonts w:eastAsia="Calibri"/>
          <w:sz w:val="18"/>
          <w:szCs w:val="18"/>
        </w:rPr>
        <w:t xml:space="preserve"> veya </w:t>
      </w:r>
      <w:proofErr w:type="spellStart"/>
      <w:r w:rsidRPr="00265A9E">
        <w:rPr>
          <w:rFonts w:eastAsia="Calibri"/>
          <w:sz w:val="18"/>
          <w:szCs w:val="18"/>
        </w:rPr>
        <w:t>periferik</w:t>
      </w:r>
      <w:proofErr w:type="spellEnd"/>
      <w:r w:rsidRPr="00265A9E">
        <w:rPr>
          <w:rFonts w:eastAsia="Calibri"/>
          <w:sz w:val="18"/>
          <w:szCs w:val="18"/>
        </w:rPr>
        <w:t xml:space="preserve"> alt </w:t>
      </w:r>
      <w:proofErr w:type="spellStart"/>
      <w:r w:rsidRPr="00265A9E">
        <w:rPr>
          <w:rFonts w:eastAsia="Calibri"/>
          <w:sz w:val="18"/>
          <w:szCs w:val="18"/>
        </w:rPr>
        <w:t>ekstremite</w:t>
      </w:r>
      <w:proofErr w:type="spellEnd"/>
      <w:r w:rsidRPr="00265A9E">
        <w:rPr>
          <w:rFonts w:eastAsia="Calibri"/>
          <w:sz w:val="18"/>
          <w:szCs w:val="18"/>
        </w:rPr>
        <w:t xml:space="preserve"> tümörü veya metastaz şüphesi olan olgularda da </w:t>
      </w:r>
      <w:proofErr w:type="spellStart"/>
      <w:r w:rsidRPr="00265A9E">
        <w:rPr>
          <w:rFonts w:eastAsia="Calibri"/>
          <w:sz w:val="18"/>
          <w:szCs w:val="18"/>
        </w:rPr>
        <w:t>kraniyal</w:t>
      </w:r>
      <w:proofErr w:type="spellEnd"/>
      <w:r w:rsidRPr="00265A9E">
        <w:rPr>
          <w:rFonts w:eastAsia="Calibri"/>
          <w:sz w:val="18"/>
          <w:szCs w:val="18"/>
        </w:rPr>
        <w:t xml:space="preserve"> bölge ve </w:t>
      </w:r>
      <w:proofErr w:type="spellStart"/>
      <w:r w:rsidRPr="00265A9E">
        <w:rPr>
          <w:rFonts w:eastAsia="Calibri"/>
          <w:sz w:val="18"/>
          <w:szCs w:val="18"/>
        </w:rPr>
        <w:t>periferik</w:t>
      </w:r>
      <w:proofErr w:type="spellEnd"/>
      <w:r w:rsidRPr="00265A9E">
        <w:rPr>
          <w:rFonts w:eastAsia="Calibri"/>
          <w:sz w:val="18"/>
          <w:szCs w:val="18"/>
        </w:rPr>
        <w:t xml:space="preserve"> </w:t>
      </w:r>
      <w:proofErr w:type="spellStart"/>
      <w:r w:rsidRPr="00265A9E">
        <w:rPr>
          <w:rFonts w:eastAsia="Calibri"/>
          <w:sz w:val="18"/>
          <w:szCs w:val="18"/>
        </w:rPr>
        <w:t>ekstremiteler</w:t>
      </w:r>
      <w:proofErr w:type="spellEnd"/>
      <w:r w:rsidRPr="00265A9E">
        <w:rPr>
          <w:rFonts w:eastAsia="Calibri"/>
          <w:sz w:val="18"/>
          <w:szCs w:val="18"/>
        </w:rPr>
        <w:t xml:space="preserve"> görüntülenmelidir.  </w:t>
      </w:r>
    </w:p>
    <w:p w:rsidR="00265A9E" w:rsidRPr="00265A9E" w:rsidRDefault="00265A9E" w:rsidP="00265A9E">
      <w:pPr>
        <w:numPr>
          <w:ilvl w:val="0"/>
          <w:numId w:val="42"/>
        </w:numPr>
        <w:tabs>
          <w:tab w:val="left" w:pos="993"/>
        </w:tabs>
        <w:spacing w:after="160" w:line="259" w:lineRule="auto"/>
        <w:ind w:left="0" w:firstLine="709"/>
        <w:contextualSpacing/>
        <w:jc w:val="both"/>
        <w:rPr>
          <w:rFonts w:eastAsia="Calibri"/>
          <w:sz w:val="18"/>
          <w:szCs w:val="18"/>
        </w:rPr>
      </w:pPr>
      <w:r w:rsidRPr="00265A9E">
        <w:rPr>
          <w:rFonts w:eastAsia="Calibri"/>
          <w:sz w:val="18"/>
          <w:szCs w:val="18"/>
        </w:rPr>
        <w:t>PET raporlaması nükleer tıp uzmanlarınca yapılır. PET ile birlikte tanısal BT veya tanısal MR yapılması halinde BT veya MR raporlaması radyoloji uzman hekimince ayrıca yapılır.</w:t>
      </w:r>
    </w:p>
    <w:p w:rsidR="00265A9E" w:rsidRPr="00265A9E" w:rsidRDefault="00265A9E" w:rsidP="00265A9E">
      <w:pPr>
        <w:numPr>
          <w:ilvl w:val="0"/>
          <w:numId w:val="42"/>
        </w:numPr>
        <w:tabs>
          <w:tab w:val="left" w:pos="993"/>
        </w:tabs>
        <w:spacing w:after="160" w:line="259" w:lineRule="auto"/>
        <w:ind w:left="0" w:firstLine="709"/>
        <w:contextualSpacing/>
        <w:jc w:val="both"/>
        <w:rPr>
          <w:rFonts w:eastAsia="Calibri"/>
          <w:sz w:val="18"/>
          <w:szCs w:val="18"/>
        </w:rPr>
      </w:pPr>
      <w:r w:rsidRPr="00265A9E">
        <w:rPr>
          <w:rFonts w:eastAsia="Calibri"/>
          <w:sz w:val="18"/>
          <w:szCs w:val="18"/>
        </w:rPr>
        <w:t xml:space="preserve">PET sonuç raporunda tetkik </w:t>
      </w:r>
      <w:proofErr w:type="spellStart"/>
      <w:r w:rsidRPr="00265A9E">
        <w:rPr>
          <w:rFonts w:eastAsia="Calibri"/>
          <w:sz w:val="18"/>
          <w:szCs w:val="18"/>
        </w:rPr>
        <w:t>endikasyonunun</w:t>
      </w:r>
      <w:proofErr w:type="spellEnd"/>
      <w:r w:rsidRPr="00265A9E">
        <w:rPr>
          <w:rFonts w:eastAsia="Calibri"/>
          <w:sz w:val="18"/>
          <w:szCs w:val="18"/>
        </w:rPr>
        <w:t xml:space="preserve"> açık olarak (ICD 10 kodu ile) belirtilmesi gereklidir. </w:t>
      </w:r>
      <w:proofErr w:type="spellStart"/>
      <w:r w:rsidRPr="00265A9E">
        <w:rPr>
          <w:rFonts w:eastAsia="Calibri"/>
          <w:sz w:val="18"/>
          <w:szCs w:val="18"/>
        </w:rPr>
        <w:t>Nöroendokrin</w:t>
      </w:r>
      <w:proofErr w:type="spellEnd"/>
      <w:r w:rsidRPr="00265A9E">
        <w:rPr>
          <w:rFonts w:eastAsia="Calibri"/>
          <w:sz w:val="18"/>
          <w:szCs w:val="18"/>
        </w:rPr>
        <w:t xml:space="preserve"> tümörler vücutta herhangi bir organdan köken alabileceği için </w:t>
      </w:r>
      <w:proofErr w:type="spellStart"/>
      <w:r w:rsidRPr="00265A9E">
        <w:rPr>
          <w:rFonts w:eastAsia="Calibri"/>
          <w:sz w:val="18"/>
          <w:szCs w:val="18"/>
        </w:rPr>
        <w:t>primer</w:t>
      </w:r>
      <w:proofErr w:type="spellEnd"/>
      <w:r w:rsidRPr="00265A9E">
        <w:rPr>
          <w:rFonts w:eastAsia="Calibri"/>
          <w:sz w:val="18"/>
          <w:szCs w:val="18"/>
        </w:rPr>
        <w:t xml:space="preserve"> tümörün lokalizasyonuna göre ICD-10 kodunun raporlanması gerekmektedir.</w:t>
      </w:r>
    </w:p>
    <w:p w:rsidR="00265A9E" w:rsidRPr="00265A9E" w:rsidRDefault="00265A9E" w:rsidP="00265A9E">
      <w:pPr>
        <w:numPr>
          <w:ilvl w:val="0"/>
          <w:numId w:val="42"/>
        </w:numPr>
        <w:tabs>
          <w:tab w:val="left" w:pos="993"/>
        </w:tabs>
        <w:spacing w:after="160" w:line="259" w:lineRule="auto"/>
        <w:ind w:left="0" w:firstLine="709"/>
        <w:contextualSpacing/>
        <w:jc w:val="both"/>
        <w:rPr>
          <w:rFonts w:eastAsia="Calibri"/>
          <w:sz w:val="18"/>
          <w:szCs w:val="18"/>
        </w:rPr>
      </w:pPr>
      <w:proofErr w:type="spellStart"/>
      <w:r w:rsidRPr="00265A9E">
        <w:rPr>
          <w:rFonts w:eastAsia="Calibri"/>
          <w:sz w:val="18"/>
          <w:szCs w:val="18"/>
        </w:rPr>
        <w:t>Somatostatin</w:t>
      </w:r>
      <w:proofErr w:type="spellEnd"/>
      <w:r w:rsidRPr="00265A9E">
        <w:rPr>
          <w:rFonts w:eastAsia="Calibri"/>
          <w:sz w:val="18"/>
          <w:szCs w:val="18"/>
        </w:rPr>
        <w:t xml:space="preserve"> reseptör durumunun belirlenmesi ve/veya </w:t>
      </w:r>
      <w:proofErr w:type="spellStart"/>
      <w:r w:rsidRPr="00265A9E">
        <w:rPr>
          <w:rFonts w:eastAsia="Calibri"/>
          <w:sz w:val="18"/>
          <w:szCs w:val="18"/>
        </w:rPr>
        <w:t>radyonüklid</w:t>
      </w:r>
      <w:proofErr w:type="spellEnd"/>
      <w:r w:rsidRPr="00265A9E">
        <w:rPr>
          <w:rFonts w:eastAsia="Calibri"/>
          <w:sz w:val="18"/>
          <w:szCs w:val="18"/>
        </w:rPr>
        <w:t xml:space="preserve"> tedavi için hasta seçimi, </w:t>
      </w:r>
      <w:proofErr w:type="spellStart"/>
      <w:r w:rsidRPr="00265A9E">
        <w:rPr>
          <w:rFonts w:eastAsia="Calibri"/>
          <w:sz w:val="18"/>
          <w:szCs w:val="18"/>
        </w:rPr>
        <w:t>somatostatin</w:t>
      </w:r>
      <w:proofErr w:type="spellEnd"/>
      <w:r w:rsidRPr="00265A9E">
        <w:rPr>
          <w:rFonts w:eastAsia="Calibri"/>
          <w:sz w:val="18"/>
          <w:szCs w:val="18"/>
        </w:rPr>
        <w:t xml:space="preserve"> pozitif-tümörlere yönelik tedavilerde ve hedefe yönelik Y-90, Lu-177 gibi </w:t>
      </w:r>
      <w:proofErr w:type="spellStart"/>
      <w:r w:rsidRPr="00265A9E">
        <w:rPr>
          <w:rFonts w:eastAsia="Calibri"/>
          <w:sz w:val="18"/>
          <w:szCs w:val="18"/>
        </w:rPr>
        <w:t>terapötik</w:t>
      </w:r>
      <w:proofErr w:type="spellEnd"/>
      <w:r w:rsidRPr="00265A9E">
        <w:rPr>
          <w:rFonts w:eastAsia="Calibri"/>
          <w:sz w:val="18"/>
          <w:szCs w:val="18"/>
        </w:rPr>
        <w:t xml:space="preserve"> işaretli bileşikler ile tedavisi planlanan hastalarda, </w:t>
      </w:r>
      <w:proofErr w:type="spellStart"/>
      <w:r w:rsidRPr="00265A9E">
        <w:rPr>
          <w:rFonts w:eastAsia="Calibri"/>
          <w:sz w:val="18"/>
          <w:szCs w:val="18"/>
        </w:rPr>
        <w:t>Ga</w:t>
      </w:r>
      <w:proofErr w:type="spellEnd"/>
      <w:r w:rsidRPr="00265A9E">
        <w:rPr>
          <w:rFonts w:eastAsia="Calibri"/>
          <w:sz w:val="18"/>
          <w:szCs w:val="18"/>
        </w:rPr>
        <w:t xml:space="preserve"> 68 işaretli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w:t>
      </w:r>
      <w:proofErr w:type="spellEnd"/>
      <w:r w:rsidRPr="00265A9E">
        <w:rPr>
          <w:rFonts w:eastAsia="Calibri"/>
          <w:sz w:val="18"/>
          <w:szCs w:val="18"/>
        </w:rPr>
        <w:t xml:space="preserve"> kullanılarak tedaviye uygun hasta seçilmesini sağlamak amacıyla kullanılır.</w:t>
      </w:r>
    </w:p>
    <w:p w:rsidR="00C5026F" w:rsidRPr="00265A9E" w:rsidRDefault="00265A9E" w:rsidP="00265A9E">
      <w:pPr>
        <w:spacing w:before="100" w:beforeAutospacing="1" w:after="100" w:afterAutospacing="1"/>
        <w:ind w:left="360"/>
        <w:jc w:val="center"/>
        <w:rPr>
          <w:b/>
          <w:sz w:val="18"/>
          <w:szCs w:val="18"/>
        </w:rPr>
      </w:pPr>
      <w:r w:rsidRPr="00265A9E">
        <w:rPr>
          <w:b/>
          <w:sz w:val="18"/>
          <w:szCs w:val="18"/>
        </w:rPr>
        <w:t xml:space="preserve">E) </w:t>
      </w:r>
      <w:r w:rsidR="00FC1E3D" w:rsidRPr="00265A9E">
        <w:rPr>
          <w:b/>
          <w:sz w:val="18"/>
          <w:szCs w:val="18"/>
        </w:rPr>
        <w:t xml:space="preserve">Kemik PET (F-18 </w:t>
      </w:r>
      <w:proofErr w:type="spellStart"/>
      <w:r w:rsidR="00FC1E3D" w:rsidRPr="00265A9E">
        <w:rPr>
          <w:b/>
          <w:sz w:val="18"/>
          <w:szCs w:val="18"/>
        </w:rPr>
        <w:t>NaF</w:t>
      </w:r>
      <w:proofErr w:type="spellEnd"/>
      <w:r w:rsidR="00FC1E3D" w:rsidRPr="00265A9E">
        <w:rPr>
          <w:b/>
          <w:sz w:val="18"/>
          <w:szCs w:val="18"/>
        </w:rPr>
        <w:t>)</w:t>
      </w:r>
    </w:p>
    <w:p w:rsidR="005355EF" w:rsidRPr="00265A9E" w:rsidRDefault="00C5026F" w:rsidP="00265A9E">
      <w:pPr>
        <w:spacing w:before="100" w:beforeAutospacing="1" w:after="100" w:afterAutospacing="1"/>
        <w:ind w:firstLine="709"/>
        <w:jc w:val="both"/>
        <w:rPr>
          <w:sz w:val="18"/>
          <w:szCs w:val="18"/>
        </w:rPr>
      </w:pPr>
      <w:r w:rsidRPr="00265A9E">
        <w:rPr>
          <w:sz w:val="18"/>
          <w:szCs w:val="18"/>
        </w:rPr>
        <w:t>Tablo 5’te ifade edilen klinik durumlarla ilgili 800.901 kodlu “Kemik PET</w:t>
      </w:r>
      <w:r w:rsidR="00FC1E3D" w:rsidRPr="00265A9E">
        <w:rPr>
          <w:sz w:val="18"/>
          <w:szCs w:val="18"/>
        </w:rPr>
        <w:t xml:space="preserve"> (F-18 </w:t>
      </w:r>
      <w:proofErr w:type="spellStart"/>
      <w:r w:rsidR="00FC1E3D" w:rsidRPr="00265A9E">
        <w:rPr>
          <w:sz w:val="18"/>
          <w:szCs w:val="18"/>
        </w:rPr>
        <w:t>NaF</w:t>
      </w:r>
      <w:proofErr w:type="spellEnd"/>
      <w:r w:rsidR="00FC1E3D" w:rsidRPr="00265A9E">
        <w:rPr>
          <w:sz w:val="18"/>
          <w:szCs w:val="18"/>
        </w:rPr>
        <w:t>)</w:t>
      </w:r>
      <w:r w:rsidRPr="00265A9E">
        <w:rPr>
          <w:sz w:val="18"/>
          <w:szCs w:val="18"/>
        </w:rPr>
        <w:t xml:space="preserve">” </w:t>
      </w:r>
      <w:r w:rsidR="00FC1E3D" w:rsidRPr="00265A9E">
        <w:rPr>
          <w:sz w:val="18"/>
          <w:szCs w:val="18"/>
        </w:rPr>
        <w:t xml:space="preserve">işleminin </w:t>
      </w:r>
      <w:r w:rsidRPr="00265A9E">
        <w:rPr>
          <w:sz w:val="18"/>
          <w:szCs w:val="18"/>
        </w:rPr>
        <w:t xml:space="preserve">bedelinin ödenebilmesi için gerekli klinik </w:t>
      </w:r>
      <w:proofErr w:type="spellStart"/>
      <w:r w:rsidRPr="00265A9E">
        <w:rPr>
          <w:sz w:val="18"/>
          <w:szCs w:val="18"/>
        </w:rPr>
        <w:t>endikasyonlarını</w:t>
      </w:r>
      <w:proofErr w:type="spellEnd"/>
      <w:r w:rsidRPr="00265A9E">
        <w:rPr>
          <w:sz w:val="18"/>
          <w:szCs w:val="18"/>
        </w:rPr>
        <w:t xml:space="preserve"> açıklamaları ve sınırlamaları kapsamaktadır</w:t>
      </w:r>
      <w:r w:rsidR="00FC1E3D" w:rsidRPr="00265A9E">
        <w:rPr>
          <w:sz w:val="18"/>
          <w:szCs w:val="18"/>
        </w:rPr>
        <w:t>.</w:t>
      </w:r>
    </w:p>
    <w:p w:rsidR="00265A9E" w:rsidRPr="00265A9E" w:rsidRDefault="00265A9E" w:rsidP="00265A9E">
      <w:pPr>
        <w:spacing w:before="100" w:beforeAutospacing="1" w:after="100" w:afterAutospacing="1"/>
        <w:ind w:left="360"/>
        <w:jc w:val="center"/>
        <w:rPr>
          <w:b/>
          <w:sz w:val="18"/>
          <w:szCs w:val="18"/>
        </w:rPr>
      </w:pPr>
      <w:r w:rsidRPr="00265A9E">
        <w:rPr>
          <w:b/>
          <w:sz w:val="18"/>
          <w:szCs w:val="18"/>
        </w:rPr>
        <w:t>F) ONKOLOJİK PET (</w:t>
      </w:r>
      <w:proofErr w:type="spellStart"/>
      <w:r w:rsidRPr="00265A9E">
        <w:rPr>
          <w:b/>
          <w:sz w:val="18"/>
          <w:szCs w:val="18"/>
        </w:rPr>
        <w:t>Ga</w:t>
      </w:r>
      <w:proofErr w:type="spellEnd"/>
      <w:r w:rsidRPr="00265A9E">
        <w:rPr>
          <w:b/>
          <w:sz w:val="18"/>
          <w:szCs w:val="18"/>
        </w:rPr>
        <w:t xml:space="preserve"> 68 İşaretli </w:t>
      </w:r>
      <w:proofErr w:type="gramStart"/>
      <w:r w:rsidRPr="00265A9E">
        <w:rPr>
          <w:b/>
          <w:sz w:val="18"/>
          <w:szCs w:val="18"/>
        </w:rPr>
        <w:t>PSMA )</w:t>
      </w:r>
      <w:proofErr w:type="gramEnd"/>
    </w:p>
    <w:p w:rsidR="00265A9E" w:rsidRPr="00265A9E" w:rsidRDefault="00265A9E" w:rsidP="00265A9E">
      <w:pPr>
        <w:tabs>
          <w:tab w:val="left" w:pos="567"/>
        </w:tabs>
        <w:ind w:firstLine="709"/>
        <w:jc w:val="both"/>
        <w:rPr>
          <w:rFonts w:eastAsia="Calibri"/>
          <w:sz w:val="18"/>
          <w:szCs w:val="18"/>
        </w:rPr>
      </w:pPr>
      <w:r w:rsidRPr="00265A9E">
        <w:rPr>
          <w:rFonts w:eastAsia="Calibri"/>
          <w:sz w:val="18"/>
          <w:szCs w:val="18"/>
        </w:rPr>
        <w:t xml:space="preserve">Bu bölüm pozitron yayıcı radyoizotoplar kullanılarak PET, kombine PET/BT veya kombine PET/MR tarayıcı kameralarda yapılan tanısal görüntüleme işlemlerini kapsar. 801.365 kodlu “Onkolojik PET, </w:t>
      </w:r>
      <w:proofErr w:type="spellStart"/>
      <w:r w:rsidRPr="00265A9E">
        <w:rPr>
          <w:rFonts w:eastAsia="Calibri"/>
          <w:sz w:val="18"/>
          <w:szCs w:val="18"/>
        </w:rPr>
        <w:t>Ga</w:t>
      </w:r>
      <w:proofErr w:type="spellEnd"/>
      <w:r w:rsidRPr="00265A9E">
        <w:rPr>
          <w:rFonts w:eastAsia="Calibri"/>
          <w:sz w:val="18"/>
          <w:szCs w:val="18"/>
        </w:rPr>
        <w:t xml:space="preserve"> 68 ile işaretli PSMA bedelinin ödenebilmesi için Tablo 6 da ifade edilen klinik durumlar ve aşağıdaki tanım ve şartlara uygun biçimde istenilmesi ve yapılması gereklidir. </w:t>
      </w:r>
    </w:p>
    <w:p w:rsidR="00265A9E" w:rsidRPr="00265A9E" w:rsidRDefault="00265A9E" w:rsidP="00265A9E">
      <w:pPr>
        <w:tabs>
          <w:tab w:val="left" w:pos="567"/>
        </w:tabs>
        <w:ind w:firstLine="709"/>
        <w:jc w:val="both"/>
        <w:rPr>
          <w:rFonts w:eastAsia="Calibri"/>
          <w:b/>
          <w:sz w:val="18"/>
          <w:szCs w:val="18"/>
          <w:u w:val="single"/>
        </w:rPr>
      </w:pPr>
      <w:r w:rsidRPr="00265A9E">
        <w:rPr>
          <w:rFonts w:eastAsia="Calibri"/>
          <w:b/>
          <w:sz w:val="18"/>
          <w:szCs w:val="18"/>
          <w:u w:val="single"/>
        </w:rPr>
        <w:lastRenderedPageBreak/>
        <w:t xml:space="preserve">1.Klinik </w:t>
      </w:r>
      <w:proofErr w:type="spellStart"/>
      <w:r w:rsidRPr="00265A9E">
        <w:rPr>
          <w:rFonts w:eastAsia="Calibri"/>
          <w:b/>
          <w:sz w:val="18"/>
          <w:szCs w:val="18"/>
          <w:u w:val="single"/>
        </w:rPr>
        <w:t>endikasyonlar</w:t>
      </w:r>
      <w:proofErr w:type="spellEnd"/>
      <w:r w:rsidRPr="00265A9E">
        <w:rPr>
          <w:rFonts w:eastAsia="Calibri"/>
          <w:b/>
          <w:sz w:val="18"/>
          <w:szCs w:val="18"/>
          <w:u w:val="single"/>
        </w:rPr>
        <w:t xml:space="preserve"> ile ilgili şartlar: </w:t>
      </w:r>
    </w:p>
    <w:p w:rsidR="00265A9E" w:rsidRPr="00265A9E" w:rsidRDefault="00265A9E" w:rsidP="00265A9E">
      <w:pPr>
        <w:tabs>
          <w:tab w:val="left" w:pos="567"/>
        </w:tabs>
        <w:ind w:firstLine="709"/>
        <w:jc w:val="both"/>
        <w:rPr>
          <w:rFonts w:eastAsia="Calibri"/>
          <w:sz w:val="18"/>
          <w:szCs w:val="18"/>
        </w:rPr>
      </w:pPr>
      <w:r w:rsidRPr="00265A9E">
        <w:rPr>
          <w:rFonts w:eastAsia="Calibri"/>
          <w:sz w:val="18"/>
          <w:szCs w:val="18"/>
        </w:rPr>
        <w:t xml:space="preserve">a) </w:t>
      </w:r>
      <w:proofErr w:type="spellStart"/>
      <w:r w:rsidRPr="00265A9E">
        <w:rPr>
          <w:rFonts w:eastAsia="Calibri"/>
          <w:sz w:val="18"/>
          <w:szCs w:val="18"/>
        </w:rPr>
        <w:t>Evreleme</w:t>
      </w:r>
      <w:proofErr w:type="spellEnd"/>
      <w:r w:rsidRPr="00265A9E">
        <w:rPr>
          <w:rFonts w:eastAsia="Calibri"/>
          <w:sz w:val="18"/>
          <w:szCs w:val="18"/>
        </w:rPr>
        <w:t xml:space="preserve"> amaçlı </w:t>
      </w:r>
      <w:proofErr w:type="spellStart"/>
      <w:r w:rsidRPr="00265A9E">
        <w:rPr>
          <w:rFonts w:eastAsia="Calibri"/>
          <w:sz w:val="18"/>
          <w:szCs w:val="18"/>
        </w:rPr>
        <w:t>Ga</w:t>
      </w:r>
      <w:proofErr w:type="spellEnd"/>
      <w:r w:rsidRPr="00265A9E">
        <w:rPr>
          <w:rFonts w:eastAsia="Calibri"/>
          <w:sz w:val="18"/>
          <w:szCs w:val="18"/>
        </w:rPr>
        <w:t xml:space="preserve"> 68 PSMA PET tetkiki, yüksek risk grubundaki hastalarda (</w:t>
      </w:r>
      <w:proofErr w:type="spellStart"/>
      <w:r w:rsidRPr="00265A9E">
        <w:rPr>
          <w:rFonts w:eastAsia="Calibri"/>
          <w:sz w:val="18"/>
          <w:szCs w:val="18"/>
        </w:rPr>
        <w:t>Gleason</w:t>
      </w:r>
      <w:proofErr w:type="spellEnd"/>
      <w:r w:rsidRPr="00265A9E">
        <w:rPr>
          <w:rFonts w:eastAsia="Calibri"/>
          <w:sz w:val="18"/>
          <w:szCs w:val="18"/>
        </w:rPr>
        <w:t xml:space="preserve"> skoru &gt;7 ve/veya </w:t>
      </w:r>
      <w:proofErr w:type="gramStart"/>
      <w:r w:rsidRPr="00265A9E">
        <w:rPr>
          <w:rFonts w:eastAsia="Calibri"/>
          <w:sz w:val="18"/>
          <w:szCs w:val="18"/>
        </w:rPr>
        <w:t>PSA &gt;</w:t>
      </w:r>
      <w:proofErr w:type="gramEnd"/>
      <w:r w:rsidRPr="00265A9E">
        <w:rPr>
          <w:rFonts w:eastAsia="Calibri"/>
          <w:sz w:val="18"/>
          <w:szCs w:val="18"/>
        </w:rPr>
        <w:t xml:space="preserve"> 20 </w:t>
      </w:r>
      <w:proofErr w:type="spellStart"/>
      <w:r w:rsidRPr="00265A9E">
        <w:rPr>
          <w:rFonts w:eastAsia="Calibri"/>
          <w:sz w:val="18"/>
          <w:szCs w:val="18"/>
        </w:rPr>
        <w:t>ng</w:t>
      </w:r>
      <w:proofErr w:type="spellEnd"/>
      <w:r w:rsidRPr="00265A9E">
        <w:rPr>
          <w:rFonts w:eastAsia="Calibri"/>
          <w:sz w:val="18"/>
          <w:szCs w:val="18"/>
        </w:rPr>
        <w:t>/</w:t>
      </w:r>
      <w:proofErr w:type="spellStart"/>
      <w:r w:rsidRPr="00265A9E">
        <w:rPr>
          <w:rFonts w:eastAsia="Calibri"/>
          <w:sz w:val="18"/>
          <w:szCs w:val="18"/>
        </w:rPr>
        <w:t>mL</w:t>
      </w:r>
      <w:proofErr w:type="spellEnd"/>
      <w:r w:rsidRPr="00265A9E">
        <w:rPr>
          <w:rFonts w:eastAsia="Calibri"/>
          <w:sz w:val="18"/>
          <w:szCs w:val="18"/>
        </w:rPr>
        <w:t>) ve orta risk grubundaki hastalarda (</w:t>
      </w:r>
      <w:proofErr w:type="spellStart"/>
      <w:r w:rsidRPr="00265A9E">
        <w:rPr>
          <w:rFonts w:eastAsia="Calibri"/>
          <w:sz w:val="18"/>
          <w:szCs w:val="18"/>
        </w:rPr>
        <w:t>Gleason</w:t>
      </w:r>
      <w:proofErr w:type="spellEnd"/>
      <w:r w:rsidRPr="00265A9E">
        <w:rPr>
          <w:rFonts w:eastAsia="Calibri"/>
          <w:sz w:val="18"/>
          <w:szCs w:val="18"/>
        </w:rPr>
        <w:t xml:space="preserve"> skor 7 ve/veya PSA &gt; 10 </w:t>
      </w:r>
      <w:proofErr w:type="spellStart"/>
      <w:r w:rsidRPr="00265A9E">
        <w:rPr>
          <w:rFonts w:eastAsia="Calibri"/>
          <w:sz w:val="18"/>
          <w:szCs w:val="18"/>
        </w:rPr>
        <w:t>ng</w:t>
      </w:r>
      <w:proofErr w:type="spellEnd"/>
      <w:r w:rsidRPr="00265A9E">
        <w:rPr>
          <w:rFonts w:eastAsia="Calibri"/>
          <w:sz w:val="18"/>
          <w:szCs w:val="18"/>
        </w:rPr>
        <w:t>/</w:t>
      </w:r>
      <w:proofErr w:type="spellStart"/>
      <w:r w:rsidRPr="00265A9E">
        <w:rPr>
          <w:rFonts w:eastAsia="Calibri"/>
          <w:sz w:val="18"/>
          <w:szCs w:val="18"/>
        </w:rPr>
        <w:t>mL</w:t>
      </w:r>
      <w:proofErr w:type="spellEnd"/>
      <w:r w:rsidRPr="00265A9E">
        <w:rPr>
          <w:rFonts w:eastAsia="Calibri"/>
          <w:sz w:val="18"/>
          <w:szCs w:val="18"/>
        </w:rPr>
        <w:t xml:space="preserve">)  başlangıç </w:t>
      </w:r>
      <w:proofErr w:type="spellStart"/>
      <w:r w:rsidRPr="00265A9E">
        <w:rPr>
          <w:rFonts w:eastAsia="Calibri"/>
          <w:sz w:val="18"/>
          <w:szCs w:val="18"/>
        </w:rPr>
        <w:t>evrelemede</w:t>
      </w:r>
      <w:proofErr w:type="spellEnd"/>
      <w:r w:rsidRPr="00265A9E">
        <w:rPr>
          <w:rFonts w:eastAsia="Calibri"/>
          <w:sz w:val="18"/>
          <w:szCs w:val="18"/>
        </w:rPr>
        <w:t xml:space="preserve"> yapılabilir. </w:t>
      </w:r>
      <w:proofErr w:type="spellStart"/>
      <w:r w:rsidRPr="00265A9E">
        <w:rPr>
          <w:rFonts w:eastAsia="Calibri"/>
          <w:sz w:val="18"/>
          <w:szCs w:val="18"/>
        </w:rPr>
        <w:t>Evreleme</w:t>
      </w:r>
      <w:proofErr w:type="spellEnd"/>
      <w:r w:rsidRPr="00265A9E">
        <w:rPr>
          <w:rFonts w:eastAsia="Calibri"/>
          <w:sz w:val="18"/>
          <w:szCs w:val="18"/>
        </w:rPr>
        <w:t xml:space="preserve"> amaçlı PET </w:t>
      </w:r>
      <w:proofErr w:type="spellStart"/>
      <w:r w:rsidRPr="00265A9E">
        <w:rPr>
          <w:rFonts w:eastAsia="Calibri"/>
          <w:sz w:val="18"/>
          <w:szCs w:val="18"/>
        </w:rPr>
        <w:t>endikasyonu</w:t>
      </w:r>
      <w:proofErr w:type="spellEnd"/>
      <w:r w:rsidRPr="00265A9E">
        <w:rPr>
          <w:rFonts w:eastAsia="Calibri"/>
          <w:sz w:val="18"/>
          <w:szCs w:val="18"/>
        </w:rPr>
        <w:t xml:space="preserve"> olan ve RT uygulanması düşünülen tüm tümörlerde aynı zamanda RT planlama </w:t>
      </w:r>
      <w:proofErr w:type="spellStart"/>
      <w:r w:rsidRPr="00265A9E">
        <w:rPr>
          <w:rFonts w:eastAsia="Calibri"/>
          <w:sz w:val="18"/>
          <w:szCs w:val="18"/>
        </w:rPr>
        <w:t>endikasyonu</w:t>
      </w:r>
      <w:proofErr w:type="spellEnd"/>
      <w:r w:rsidRPr="00265A9E">
        <w:rPr>
          <w:rFonts w:eastAsia="Calibri"/>
          <w:sz w:val="18"/>
          <w:szCs w:val="18"/>
        </w:rPr>
        <w:t xml:space="preserve"> ile de PET uygulanabilir. </w:t>
      </w:r>
    </w:p>
    <w:p w:rsidR="00265A9E" w:rsidRPr="00265A9E" w:rsidRDefault="00265A9E" w:rsidP="00265A9E">
      <w:pPr>
        <w:tabs>
          <w:tab w:val="left" w:pos="567"/>
        </w:tabs>
        <w:ind w:firstLine="709"/>
        <w:jc w:val="both"/>
        <w:rPr>
          <w:rFonts w:eastAsia="Calibri"/>
          <w:sz w:val="18"/>
          <w:szCs w:val="18"/>
        </w:rPr>
      </w:pPr>
      <w:r w:rsidRPr="00265A9E">
        <w:rPr>
          <w:rFonts w:eastAsia="Calibri"/>
          <w:sz w:val="18"/>
          <w:szCs w:val="18"/>
        </w:rPr>
        <w:t xml:space="preserve">b)  Yeniden </w:t>
      </w:r>
      <w:proofErr w:type="spellStart"/>
      <w:r w:rsidRPr="00265A9E">
        <w:rPr>
          <w:rFonts w:eastAsia="Calibri"/>
          <w:sz w:val="18"/>
          <w:szCs w:val="18"/>
        </w:rPr>
        <w:t>Evreleme</w:t>
      </w:r>
      <w:proofErr w:type="spellEnd"/>
      <w:r w:rsidRPr="00265A9E">
        <w:rPr>
          <w:rFonts w:eastAsia="Calibri"/>
          <w:sz w:val="18"/>
          <w:szCs w:val="18"/>
        </w:rPr>
        <w:t xml:space="preserve"> amaçlı </w:t>
      </w:r>
      <w:proofErr w:type="spellStart"/>
      <w:r w:rsidRPr="00265A9E">
        <w:rPr>
          <w:rFonts w:eastAsia="Calibri"/>
          <w:sz w:val="18"/>
          <w:szCs w:val="18"/>
        </w:rPr>
        <w:t>Ga</w:t>
      </w:r>
      <w:proofErr w:type="spellEnd"/>
      <w:r w:rsidRPr="00265A9E">
        <w:rPr>
          <w:rFonts w:eastAsia="Calibri"/>
          <w:sz w:val="18"/>
          <w:szCs w:val="18"/>
        </w:rPr>
        <w:t xml:space="preserve"> 68 PSMA PET tetkiki lokal </w:t>
      </w:r>
      <w:proofErr w:type="spellStart"/>
      <w:r w:rsidRPr="00265A9E">
        <w:rPr>
          <w:rFonts w:eastAsia="Calibri"/>
          <w:sz w:val="18"/>
          <w:szCs w:val="18"/>
        </w:rPr>
        <w:t>definitif</w:t>
      </w:r>
      <w:proofErr w:type="spellEnd"/>
      <w:r w:rsidRPr="00265A9E">
        <w:rPr>
          <w:rFonts w:eastAsia="Calibri"/>
          <w:sz w:val="18"/>
          <w:szCs w:val="18"/>
        </w:rPr>
        <w:t xml:space="preserve"> tedaviler sonrası biyokimyasal </w:t>
      </w:r>
      <w:proofErr w:type="spellStart"/>
      <w:r w:rsidRPr="00265A9E">
        <w:rPr>
          <w:rFonts w:eastAsia="Calibri"/>
          <w:sz w:val="18"/>
          <w:szCs w:val="18"/>
        </w:rPr>
        <w:t>rekürrens</w:t>
      </w:r>
      <w:proofErr w:type="spellEnd"/>
      <w:r w:rsidRPr="00265A9E">
        <w:rPr>
          <w:rFonts w:eastAsia="Calibri"/>
          <w:sz w:val="18"/>
          <w:szCs w:val="18"/>
        </w:rPr>
        <w:t xml:space="preserve"> gözlenmesi ve ardışık ölçümlerde PSA yükselmesinin devam etmesi durumunda ve/veya diğer görüntüleme yöntemlerinde (kemik sintigrafisi, BT veya MR görüntüleme gibi) şüpheli lezyon bulunması durumunda yapılabilir. </w:t>
      </w:r>
    </w:p>
    <w:p w:rsidR="00265A9E" w:rsidRPr="00265A9E" w:rsidRDefault="00265A9E" w:rsidP="00265A9E">
      <w:pPr>
        <w:tabs>
          <w:tab w:val="left" w:pos="567"/>
        </w:tabs>
        <w:ind w:firstLine="709"/>
        <w:jc w:val="both"/>
        <w:rPr>
          <w:rFonts w:eastAsia="Calibri"/>
          <w:sz w:val="18"/>
          <w:szCs w:val="18"/>
        </w:rPr>
      </w:pPr>
      <w:r w:rsidRPr="00265A9E">
        <w:rPr>
          <w:rFonts w:eastAsia="Calibri"/>
          <w:sz w:val="18"/>
          <w:szCs w:val="18"/>
        </w:rPr>
        <w:t xml:space="preserve">c) PSMA hedefli </w:t>
      </w:r>
      <w:proofErr w:type="spellStart"/>
      <w:r w:rsidRPr="00265A9E">
        <w:rPr>
          <w:rFonts w:eastAsia="Calibri"/>
          <w:sz w:val="18"/>
          <w:szCs w:val="18"/>
        </w:rPr>
        <w:t>radyonüklid</w:t>
      </w:r>
      <w:proofErr w:type="spellEnd"/>
      <w:r w:rsidRPr="00265A9E">
        <w:rPr>
          <w:rFonts w:eastAsia="Calibri"/>
          <w:sz w:val="18"/>
          <w:szCs w:val="18"/>
        </w:rPr>
        <w:t xml:space="preserve"> tedavi planlanan hastalarda tedaviye uygunluğun değerlendirilmesi amaçlı yapılabilir</w:t>
      </w:r>
    </w:p>
    <w:p w:rsidR="00265A9E" w:rsidRPr="00265A9E" w:rsidRDefault="00265A9E" w:rsidP="00265A9E">
      <w:pPr>
        <w:tabs>
          <w:tab w:val="left" w:pos="567"/>
        </w:tabs>
        <w:ind w:firstLine="709"/>
        <w:jc w:val="both"/>
        <w:rPr>
          <w:rFonts w:eastAsia="Calibri"/>
          <w:sz w:val="18"/>
          <w:szCs w:val="18"/>
        </w:rPr>
      </w:pPr>
      <w:r w:rsidRPr="00265A9E">
        <w:rPr>
          <w:rFonts w:eastAsia="Calibri"/>
          <w:sz w:val="18"/>
          <w:szCs w:val="18"/>
        </w:rPr>
        <w:t xml:space="preserve">d) Tedaviye yanıtın değerlendirilmesi amacıyla </w:t>
      </w:r>
      <w:proofErr w:type="spellStart"/>
      <w:r w:rsidRPr="00265A9E">
        <w:rPr>
          <w:rFonts w:eastAsia="Calibri"/>
          <w:sz w:val="18"/>
          <w:szCs w:val="18"/>
        </w:rPr>
        <w:t>Ga</w:t>
      </w:r>
      <w:proofErr w:type="spellEnd"/>
      <w:r w:rsidRPr="00265A9E">
        <w:rPr>
          <w:rFonts w:eastAsia="Calibri"/>
          <w:sz w:val="18"/>
          <w:szCs w:val="18"/>
        </w:rPr>
        <w:t xml:space="preserve"> 68 PSMA PET </w:t>
      </w:r>
      <w:proofErr w:type="spellStart"/>
      <w:r w:rsidRPr="00265A9E">
        <w:rPr>
          <w:rFonts w:eastAsia="Calibri"/>
          <w:sz w:val="18"/>
          <w:szCs w:val="18"/>
        </w:rPr>
        <w:t>endikasyonu</w:t>
      </w:r>
      <w:proofErr w:type="spellEnd"/>
      <w:r w:rsidRPr="00265A9E">
        <w:rPr>
          <w:rFonts w:eastAsia="Calibri"/>
          <w:sz w:val="18"/>
          <w:szCs w:val="18"/>
        </w:rPr>
        <w:t xml:space="preserve"> konması için kemoterapiyi takiben en erken 2 (iki) hafta radyoterapi tamamlandıktan sonra ise en erken 6 (altı) hafta geçmiş olması gereklidir. </w:t>
      </w:r>
    </w:p>
    <w:p w:rsidR="00265A9E" w:rsidRPr="00265A9E" w:rsidRDefault="00265A9E" w:rsidP="00265A9E">
      <w:pPr>
        <w:tabs>
          <w:tab w:val="left" w:pos="567"/>
        </w:tabs>
        <w:ind w:firstLine="709"/>
        <w:jc w:val="both"/>
        <w:rPr>
          <w:rFonts w:eastAsia="Calibri"/>
          <w:sz w:val="18"/>
          <w:szCs w:val="18"/>
        </w:rPr>
      </w:pPr>
      <w:r w:rsidRPr="00265A9E">
        <w:rPr>
          <w:rFonts w:eastAsia="Calibri"/>
          <w:sz w:val="18"/>
          <w:szCs w:val="18"/>
        </w:rPr>
        <w:t xml:space="preserve">e)   </w:t>
      </w:r>
      <w:proofErr w:type="spellStart"/>
      <w:r w:rsidRPr="00265A9E">
        <w:rPr>
          <w:rFonts w:eastAsia="Calibri"/>
          <w:sz w:val="18"/>
          <w:szCs w:val="18"/>
        </w:rPr>
        <w:t>Radyonüklid</w:t>
      </w:r>
      <w:proofErr w:type="spellEnd"/>
      <w:r w:rsidRPr="00265A9E">
        <w:rPr>
          <w:rFonts w:eastAsia="Calibri"/>
          <w:sz w:val="18"/>
          <w:szCs w:val="18"/>
        </w:rPr>
        <w:t xml:space="preserve"> tedavi sonrası yanıt değerlendirme, hedefe yönelik Y-90, Lu-177 gibi </w:t>
      </w:r>
      <w:proofErr w:type="spellStart"/>
      <w:r w:rsidRPr="00265A9E">
        <w:rPr>
          <w:rFonts w:eastAsia="Calibri"/>
          <w:sz w:val="18"/>
          <w:szCs w:val="18"/>
        </w:rPr>
        <w:t>terapötik</w:t>
      </w:r>
      <w:proofErr w:type="spellEnd"/>
      <w:r w:rsidRPr="00265A9E">
        <w:rPr>
          <w:rFonts w:eastAsia="Calibri"/>
          <w:sz w:val="18"/>
          <w:szCs w:val="18"/>
        </w:rPr>
        <w:t xml:space="preserve"> işaretli bileşikler ile tedavi gören hastalarda tümörün verdiği yanıtı araştırmaya yönelik bir ifadedir. Bu amaçla PET </w:t>
      </w:r>
      <w:proofErr w:type="spellStart"/>
      <w:r w:rsidRPr="00265A9E">
        <w:rPr>
          <w:rFonts w:eastAsia="Calibri"/>
          <w:sz w:val="18"/>
          <w:szCs w:val="18"/>
        </w:rPr>
        <w:t>endikasyonu</w:t>
      </w:r>
      <w:proofErr w:type="spellEnd"/>
      <w:r w:rsidRPr="00265A9E">
        <w:rPr>
          <w:rFonts w:eastAsia="Calibri"/>
          <w:sz w:val="18"/>
          <w:szCs w:val="18"/>
        </w:rPr>
        <w:t xml:space="preserve"> konması için </w:t>
      </w:r>
      <w:proofErr w:type="spellStart"/>
      <w:r w:rsidRPr="00265A9E">
        <w:rPr>
          <w:rFonts w:eastAsia="Calibri"/>
          <w:sz w:val="18"/>
          <w:szCs w:val="18"/>
        </w:rPr>
        <w:t>Radyonüklid</w:t>
      </w:r>
      <w:proofErr w:type="spellEnd"/>
      <w:r w:rsidRPr="00265A9E">
        <w:rPr>
          <w:rFonts w:eastAsia="Calibri"/>
          <w:sz w:val="18"/>
          <w:szCs w:val="18"/>
        </w:rPr>
        <w:t xml:space="preserve"> tedavi sonrası en erken 4 (dört) hafta geçmiş olması gereklidir.</w:t>
      </w:r>
    </w:p>
    <w:p w:rsidR="00265A9E" w:rsidRPr="00265A9E" w:rsidRDefault="00265A9E" w:rsidP="00265A9E">
      <w:pPr>
        <w:tabs>
          <w:tab w:val="left" w:pos="567"/>
        </w:tabs>
        <w:jc w:val="both"/>
        <w:rPr>
          <w:rFonts w:eastAsia="Calibri"/>
          <w:sz w:val="18"/>
          <w:szCs w:val="18"/>
        </w:rPr>
      </w:pPr>
    </w:p>
    <w:p w:rsidR="00265A9E" w:rsidRPr="00265A9E" w:rsidRDefault="00265A9E" w:rsidP="00265A9E">
      <w:pPr>
        <w:tabs>
          <w:tab w:val="left" w:pos="567"/>
          <w:tab w:val="left" w:pos="993"/>
        </w:tabs>
        <w:ind w:firstLine="709"/>
        <w:jc w:val="both"/>
        <w:rPr>
          <w:rFonts w:eastAsia="Calibri"/>
          <w:b/>
          <w:sz w:val="18"/>
          <w:szCs w:val="18"/>
          <w:u w:val="single"/>
        </w:rPr>
      </w:pPr>
      <w:r w:rsidRPr="00265A9E">
        <w:rPr>
          <w:rFonts w:eastAsia="Calibri"/>
          <w:b/>
          <w:sz w:val="18"/>
          <w:szCs w:val="18"/>
          <w:u w:val="single"/>
        </w:rPr>
        <w:t xml:space="preserve">2. Diğer şartlar: </w:t>
      </w:r>
    </w:p>
    <w:p w:rsidR="00265A9E" w:rsidRPr="00265A9E" w:rsidRDefault="00265A9E" w:rsidP="00265A9E">
      <w:pPr>
        <w:tabs>
          <w:tab w:val="left" w:pos="567"/>
          <w:tab w:val="left" w:pos="993"/>
        </w:tabs>
        <w:ind w:firstLine="709"/>
        <w:jc w:val="both"/>
        <w:rPr>
          <w:rFonts w:eastAsia="Calibri"/>
          <w:sz w:val="18"/>
          <w:szCs w:val="18"/>
        </w:rPr>
      </w:pPr>
      <w:r w:rsidRPr="00265A9E">
        <w:rPr>
          <w:rFonts w:eastAsia="Calibri"/>
          <w:sz w:val="18"/>
          <w:szCs w:val="18"/>
        </w:rPr>
        <w:t xml:space="preserve">a)  PET çalışmasının tekrar yapılabilmesi için bir önceki PET çalışmasından sonra asgari 3 (üç) ay süre geçmiş olma şartı aranır. Ancak kanser tedavisi yanıtının belirlenmesi amacıyla ve </w:t>
      </w:r>
      <w:proofErr w:type="spellStart"/>
      <w:r w:rsidRPr="00265A9E">
        <w:rPr>
          <w:rFonts w:eastAsia="Calibri"/>
          <w:sz w:val="18"/>
          <w:szCs w:val="18"/>
        </w:rPr>
        <w:t>nüks</w:t>
      </w:r>
      <w:proofErr w:type="spellEnd"/>
      <w:r w:rsidRPr="00265A9E">
        <w:rPr>
          <w:rFonts w:eastAsia="Calibri"/>
          <w:sz w:val="18"/>
          <w:szCs w:val="18"/>
        </w:rPr>
        <w:t xml:space="preserve"> şüphesi </w:t>
      </w:r>
      <w:proofErr w:type="gramStart"/>
      <w:r w:rsidRPr="00265A9E">
        <w:rPr>
          <w:rFonts w:eastAsia="Calibri"/>
          <w:sz w:val="18"/>
          <w:szCs w:val="18"/>
        </w:rPr>
        <w:t>nedeniyle  erken</w:t>
      </w:r>
      <w:proofErr w:type="gramEnd"/>
      <w:r w:rsidRPr="00265A9E">
        <w:rPr>
          <w:rFonts w:eastAsia="Calibri"/>
          <w:sz w:val="18"/>
          <w:szCs w:val="18"/>
        </w:rPr>
        <w:t xml:space="preserve"> dönemde yapılacak PET çalışmaları için raporunda ayrıntılı gerekçe belirtilmesi halinde bu şart aranmaz.</w:t>
      </w:r>
    </w:p>
    <w:p w:rsidR="00265A9E" w:rsidRPr="00265A9E" w:rsidRDefault="00265A9E" w:rsidP="00265A9E">
      <w:pPr>
        <w:tabs>
          <w:tab w:val="left" w:pos="567"/>
          <w:tab w:val="left" w:pos="993"/>
        </w:tabs>
        <w:ind w:firstLine="709"/>
        <w:jc w:val="both"/>
        <w:rPr>
          <w:rFonts w:eastAsia="Calibri"/>
          <w:sz w:val="18"/>
          <w:szCs w:val="18"/>
        </w:rPr>
      </w:pPr>
      <w:r w:rsidRPr="00265A9E">
        <w:rPr>
          <w:rFonts w:eastAsia="Calibri"/>
          <w:sz w:val="18"/>
          <w:szCs w:val="18"/>
        </w:rPr>
        <w:t xml:space="preserve">b)   </w:t>
      </w:r>
      <w:proofErr w:type="spellStart"/>
      <w:r w:rsidRPr="00265A9E">
        <w:rPr>
          <w:rFonts w:eastAsia="Calibri"/>
          <w:sz w:val="18"/>
          <w:szCs w:val="18"/>
        </w:rPr>
        <w:t>Ga</w:t>
      </w:r>
      <w:proofErr w:type="spellEnd"/>
      <w:r w:rsidRPr="00265A9E">
        <w:rPr>
          <w:rFonts w:eastAsia="Calibri"/>
          <w:sz w:val="18"/>
          <w:szCs w:val="18"/>
        </w:rPr>
        <w:t xml:space="preserve"> 68 PSMA PET çalışmalarında tüm vücut görüntülemesine </w:t>
      </w:r>
      <w:proofErr w:type="spellStart"/>
      <w:r w:rsidRPr="00265A9E">
        <w:rPr>
          <w:rFonts w:eastAsia="Calibri"/>
          <w:sz w:val="18"/>
          <w:szCs w:val="18"/>
        </w:rPr>
        <w:t>kraniyal</w:t>
      </w:r>
      <w:proofErr w:type="spellEnd"/>
      <w:r w:rsidRPr="00265A9E">
        <w:rPr>
          <w:rFonts w:eastAsia="Calibri"/>
          <w:sz w:val="18"/>
          <w:szCs w:val="18"/>
        </w:rPr>
        <w:t xml:space="preserve"> bölge ve alt </w:t>
      </w:r>
      <w:proofErr w:type="spellStart"/>
      <w:r w:rsidRPr="00265A9E">
        <w:rPr>
          <w:rFonts w:eastAsia="Calibri"/>
          <w:sz w:val="18"/>
          <w:szCs w:val="18"/>
        </w:rPr>
        <w:t>ekstremiteler</w:t>
      </w:r>
      <w:proofErr w:type="spellEnd"/>
      <w:r w:rsidRPr="00265A9E">
        <w:rPr>
          <w:rFonts w:eastAsia="Calibri"/>
          <w:sz w:val="18"/>
          <w:szCs w:val="18"/>
        </w:rPr>
        <w:t xml:space="preserve"> dahil edilmelidir. </w:t>
      </w:r>
    </w:p>
    <w:p w:rsidR="00265A9E" w:rsidRPr="00265A9E" w:rsidRDefault="00265A9E" w:rsidP="00265A9E">
      <w:pPr>
        <w:tabs>
          <w:tab w:val="left" w:pos="567"/>
          <w:tab w:val="left" w:pos="993"/>
        </w:tabs>
        <w:ind w:firstLine="709"/>
        <w:jc w:val="both"/>
        <w:rPr>
          <w:rFonts w:eastAsia="Calibri"/>
          <w:sz w:val="18"/>
          <w:szCs w:val="18"/>
        </w:rPr>
      </w:pPr>
      <w:r w:rsidRPr="00265A9E">
        <w:rPr>
          <w:rFonts w:eastAsia="Calibri"/>
          <w:sz w:val="18"/>
          <w:szCs w:val="18"/>
        </w:rPr>
        <w:t xml:space="preserve">c)  PET raporlaması nükleer tıp uzmanlarınca yapılır.  PET ile birlikte tanısal BT veya tanısal MR yapılması halinde BT veya MR raporlaması radyoloji uzman hekimince ayrıca yapılır.                                                                                                          </w:t>
      </w:r>
    </w:p>
    <w:p w:rsidR="00265A9E" w:rsidRPr="00265A9E" w:rsidRDefault="00265A9E" w:rsidP="00265A9E">
      <w:pPr>
        <w:tabs>
          <w:tab w:val="left" w:pos="567"/>
          <w:tab w:val="left" w:pos="993"/>
        </w:tabs>
        <w:ind w:firstLine="709"/>
        <w:jc w:val="both"/>
        <w:rPr>
          <w:rFonts w:eastAsia="Calibri"/>
          <w:sz w:val="18"/>
          <w:szCs w:val="18"/>
        </w:rPr>
      </w:pPr>
      <w:r w:rsidRPr="00265A9E">
        <w:rPr>
          <w:rFonts w:eastAsia="Calibri"/>
          <w:sz w:val="18"/>
          <w:szCs w:val="18"/>
        </w:rPr>
        <w:t xml:space="preserve">d)  PET sonuç raporunda tetkik </w:t>
      </w:r>
      <w:proofErr w:type="spellStart"/>
      <w:r w:rsidRPr="00265A9E">
        <w:rPr>
          <w:rFonts w:eastAsia="Calibri"/>
          <w:sz w:val="18"/>
          <w:szCs w:val="18"/>
        </w:rPr>
        <w:t>endikasyonunun</w:t>
      </w:r>
      <w:proofErr w:type="spellEnd"/>
      <w:r w:rsidRPr="00265A9E">
        <w:rPr>
          <w:rFonts w:eastAsia="Calibri"/>
          <w:sz w:val="18"/>
          <w:szCs w:val="18"/>
        </w:rPr>
        <w:t xml:space="preserve"> açık olarak (1CD 10 kodu ile) belirtilmesi gereklidir.</w:t>
      </w:r>
    </w:p>
    <w:p w:rsidR="00265A9E" w:rsidRPr="00265A9E" w:rsidRDefault="00265A9E" w:rsidP="00265A9E">
      <w:pPr>
        <w:tabs>
          <w:tab w:val="left" w:pos="567"/>
          <w:tab w:val="left" w:pos="993"/>
        </w:tabs>
        <w:ind w:firstLine="709"/>
        <w:jc w:val="both"/>
        <w:rPr>
          <w:rFonts w:eastAsia="Calibri"/>
          <w:sz w:val="18"/>
          <w:szCs w:val="18"/>
        </w:rPr>
      </w:pPr>
      <w:r w:rsidRPr="00265A9E">
        <w:rPr>
          <w:rFonts w:eastAsia="Calibri"/>
          <w:sz w:val="18"/>
          <w:szCs w:val="18"/>
        </w:rPr>
        <w:t xml:space="preserve">e)   Klinik ve radyolojik bulguları ile kuvvetle şüpheli prostat kanseri düşünülen (PSA 4 ün üzerinde ve PI-RADS 3 ün üstü ve </w:t>
      </w:r>
      <w:proofErr w:type="spellStart"/>
      <w:r w:rsidRPr="00265A9E">
        <w:rPr>
          <w:rFonts w:eastAsia="Calibri"/>
          <w:sz w:val="18"/>
          <w:szCs w:val="18"/>
        </w:rPr>
        <w:t>rektal</w:t>
      </w:r>
      <w:proofErr w:type="spellEnd"/>
      <w:r w:rsidRPr="00265A9E">
        <w:rPr>
          <w:rFonts w:eastAsia="Calibri"/>
          <w:sz w:val="18"/>
          <w:szCs w:val="18"/>
        </w:rPr>
        <w:t xml:space="preserve"> muayenede nodül şartlarının hepsinin bulunduğu kişilerde) birinci biyopsi sonucu negatif olan tanı konulamayan ikinci biyopsi düşünülen hastalarda biyopsi </w:t>
      </w:r>
      <w:proofErr w:type="spellStart"/>
      <w:r w:rsidRPr="00265A9E">
        <w:rPr>
          <w:rFonts w:eastAsia="Calibri"/>
          <w:sz w:val="18"/>
          <w:szCs w:val="18"/>
        </w:rPr>
        <w:t>lokasyonunun</w:t>
      </w:r>
      <w:proofErr w:type="spellEnd"/>
      <w:r w:rsidRPr="00265A9E">
        <w:rPr>
          <w:rFonts w:eastAsia="Calibri"/>
          <w:sz w:val="18"/>
          <w:szCs w:val="18"/>
        </w:rPr>
        <w:t xml:space="preserve"> belirlenmesi için yapılır.  </w:t>
      </w:r>
    </w:p>
    <w:p w:rsidR="00265A9E" w:rsidRPr="00265A9E" w:rsidRDefault="00265A9E" w:rsidP="00265A9E">
      <w:pPr>
        <w:tabs>
          <w:tab w:val="left" w:pos="567"/>
          <w:tab w:val="left" w:pos="993"/>
        </w:tabs>
        <w:ind w:firstLine="709"/>
        <w:jc w:val="both"/>
        <w:rPr>
          <w:rFonts w:eastAsia="Calibri"/>
          <w:sz w:val="18"/>
          <w:szCs w:val="18"/>
        </w:rPr>
      </w:pPr>
      <w:r w:rsidRPr="00265A9E">
        <w:rPr>
          <w:rFonts w:eastAsia="Calibri"/>
          <w:sz w:val="18"/>
          <w:szCs w:val="18"/>
        </w:rPr>
        <w:t xml:space="preserve">f)  Sadece üçüncü basamak resmi sağlık hizmet sunucularında yapılması halinde faturalandırılır. </w:t>
      </w:r>
      <w:proofErr w:type="gramStart"/>
      <w:r w:rsidRPr="00265A9E">
        <w:rPr>
          <w:rFonts w:eastAsia="Calibri"/>
          <w:sz w:val="18"/>
          <w:szCs w:val="18"/>
        </w:rPr>
        <w:t>Ayrıca  yataklı</w:t>
      </w:r>
      <w:proofErr w:type="gramEnd"/>
      <w:r w:rsidRPr="00265A9E">
        <w:rPr>
          <w:rFonts w:eastAsia="Calibri"/>
          <w:sz w:val="18"/>
          <w:szCs w:val="18"/>
        </w:rPr>
        <w:t xml:space="preserve"> </w:t>
      </w:r>
      <w:proofErr w:type="spellStart"/>
      <w:r w:rsidRPr="00265A9E">
        <w:rPr>
          <w:rFonts w:eastAsia="Calibri"/>
          <w:sz w:val="18"/>
          <w:szCs w:val="18"/>
        </w:rPr>
        <w:t>radyonüklid</w:t>
      </w:r>
      <w:proofErr w:type="spellEnd"/>
      <w:r w:rsidRPr="00265A9E">
        <w:rPr>
          <w:rFonts w:eastAsia="Calibri"/>
          <w:sz w:val="18"/>
          <w:szCs w:val="18"/>
        </w:rPr>
        <w:t xml:space="preserve"> tedavi ünitesine sahip sağlık hizmet sunucularında; PSMA hedefli </w:t>
      </w:r>
      <w:proofErr w:type="spellStart"/>
      <w:r w:rsidRPr="00265A9E">
        <w:rPr>
          <w:rFonts w:eastAsia="Calibri"/>
          <w:sz w:val="18"/>
          <w:szCs w:val="18"/>
        </w:rPr>
        <w:t>radyonüklid</w:t>
      </w:r>
      <w:proofErr w:type="spellEnd"/>
      <w:r w:rsidRPr="00265A9E">
        <w:rPr>
          <w:rFonts w:eastAsia="Calibri"/>
          <w:sz w:val="18"/>
          <w:szCs w:val="18"/>
        </w:rPr>
        <w:t xml:space="preserve"> tedavi planlanan hastalarda tedaviye uygunluğun değerlendirilmesi ve </w:t>
      </w:r>
      <w:proofErr w:type="spellStart"/>
      <w:r w:rsidRPr="00265A9E">
        <w:rPr>
          <w:rFonts w:eastAsia="Calibri"/>
          <w:sz w:val="18"/>
          <w:szCs w:val="18"/>
        </w:rPr>
        <w:t>radyonüklid</w:t>
      </w:r>
      <w:proofErr w:type="spellEnd"/>
      <w:r w:rsidRPr="00265A9E">
        <w:rPr>
          <w:rFonts w:eastAsia="Calibri"/>
          <w:sz w:val="18"/>
          <w:szCs w:val="18"/>
        </w:rPr>
        <w:t xml:space="preserve"> tedavi sonrası yanıt değerlendirme </w:t>
      </w:r>
      <w:proofErr w:type="spellStart"/>
      <w:r w:rsidRPr="00265A9E">
        <w:rPr>
          <w:rFonts w:eastAsia="Calibri"/>
          <w:sz w:val="18"/>
          <w:szCs w:val="18"/>
        </w:rPr>
        <w:t>endikasyonları</w:t>
      </w:r>
      <w:proofErr w:type="spellEnd"/>
      <w:r w:rsidRPr="00265A9E">
        <w:rPr>
          <w:rFonts w:eastAsia="Calibri"/>
          <w:sz w:val="18"/>
          <w:szCs w:val="18"/>
        </w:rPr>
        <w:t xml:space="preserve"> ile yapılması halinde  faturalandırılır</w:t>
      </w:r>
      <w:r w:rsidRPr="00265A9E">
        <w:rPr>
          <w:sz w:val="18"/>
          <w:szCs w:val="18"/>
        </w:rPr>
        <w:t xml:space="preserve">.   </w:t>
      </w:r>
    </w:p>
    <w:p w:rsidR="001D6C39" w:rsidRPr="00265A9E" w:rsidRDefault="00BE33B0" w:rsidP="00265A9E">
      <w:pPr>
        <w:spacing w:before="100" w:beforeAutospacing="1"/>
        <w:rPr>
          <w:b/>
          <w:sz w:val="18"/>
          <w:szCs w:val="18"/>
        </w:rPr>
      </w:pPr>
      <w:r w:rsidRPr="00265A9E">
        <w:rPr>
          <w:b/>
          <w:sz w:val="18"/>
          <w:szCs w:val="18"/>
        </w:rPr>
        <w:t xml:space="preserve">TABLO </w:t>
      </w:r>
      <w:r w:rsidR="004C1641" w:rsidRPr="00265A9E">
        <w:rPr>
          <w:b/>
          <w:sz w:val="18"/>
          <w:szCs w:val="18"/>
        </w:rPr>
        <w:t>1</w:t>
      </w:r>
      <w:r w:rsidR="00A43D76" w:rsidRPr="00265A9E">
        <w:rPr>
          <w:b/>
          <w:sz w:val="18"/>
          <w:szCs w:val="18"/>
        </w:rPr>
        <w:t xml:space="preserve">- </w:t>
      </w:r>
      <w:r w:rsidR="005D13D7" w:rsidRPr="00265A9E">
        <w:rPr>
          <w:b/>
          <w:sz w:val="18"/>
          <w:szCs w:val="18"/>
        </w:rPr>
        <w:t xml:space="preserve">ONKOLOJİK </w:t>
      </w:r>
      <w:r w:rsidR="00366A55" w:rsidRPr="00265A9E">
        <w:rPr>
          <w:b/>
          <w:sz w:val="18"/>
          <w:szCs w:val="18"/>
        </w:rPr>
        <w:t xml:space="preserve">TÜM VÜCUT </w:t>
      </w:r>
      <w:r w:rsidR="00942C1D" w:rsidRPr="00265A9E">
        <w:rPr>
          <w:b/>
          <w:sz w:val="18"/>
          <w:szCs w:val="18"/>
        </w:rPr>
        <w:t xml:space="preserve">F-18 </w:t>
      </w:r>
      <w:r w:rsidR="005D13D7" w:rsidRPr="00265A9E">
        <w:rPr>
          <w:b/>
          <w:sz w:val="18"/>
          <w:szCs w:val="18"/>
        </w:rPr>
        <w:t>FDG-PET E</w:t>
      </w:r>
      <w:r w:rsidR="00A01C36" w:rsidRPr="00265A9E">
        <w:rPr>
          <w:b/>
          <w:sz w:val="18"/>
          <w:szCs w:val="18"/>
        </w:rPr>
        <w:t>NDİKASYONLARI</w:t>
      </w:r>
    </w:p>
    <w:p w:rsidR="00BE33B0" w:rsidRPr="00265A9E" w:rsidRDefault="001D6C39" w:rsidP="00E913A6">
      <w:pPr>
        <w:spacing w:line="288" w:lineRule="atLeast"/>
        <w:rPr>
          <w:sz w:val="18"/>
          <w:szCs w:val="18"/>
        </w:rPr>
      </w:pPr>
      <w:r w:rsidRPr="00265A9E">
        <w:rPr>
          <w:b/>
          <w:sz w:val="18"/>
          <w:szCs w:val="18"/>
        </w:rPr>
        <w:t xml:space="preserve"> </w:t>
      </w:r>
      <w:r w:rsidRPr="00265A9E">
        <w:rPr>
          <w:sz w:val="18"/>
          <w:szCs w:val="18"/>
        </w:rPr>
        <w:t>“</w:t>
      </w:r>
      <w:r w:rsidR="00660061" w:rsidRPr="00265A9E">
        <w:rPr>
          <w:sz w:val="18"/>
          <w:szCs w:val="18"/>
        </w:rPr>
        <w:t>801</w:t>
      </w:r>
      <w:r w:rsidRPr="00265A9E">
        <w:rPr>
          <w:sz w:val="18"/>
          <w:szCs w:val="18"/>
        </w:rPr>
        <w:t xml:space="preserve">440 Tüm vücut F-18 FDG-PET” </w:t>
      </w:r>
      <w:r w:rsidR="003A6001" w:rsidRPr="00265A9E">
        <w:rPr>
          <w:sz w:val="18"/>
          <w:szCs w:val="18"/>
        </w:rPr>
        <w:t>kod</w:t>
      </w:r>
      <w:r w:rsidR="00D509C3" w:rsidRPr="00265A9E">
        <w:rPr>
          <w:sz w:val="18"/>
          <w:szCs w:val="18"/>
        </w:rPr>
        <w:t>u</w:t>
      </w:r>
      <w:r w:rsidR="00BE33B0" w:rsidRPr="00265A9E">
        <w:rPr>
          <w:sz w:val="18"/>
          <w:szCs w:val="18"/>
        </w:rPr>
        <w:t xml:space="preserve"> i</w:t>
      </w:r>
      <w:r w:rsidR="00E913A6" w:rsidRPr="00265A9E">
        <w:rPr>
          <w:sz w:val="18"/>
          <w:szCs w:val="18"/>
        </w:rPr>
        <w:t>ç</w:t>
      </w:r>
      <w:r w:rsidR="00BE33B0" w:rsidRPr="00265A9E">
        <w:rPr>
          <w:sz w:val="18"/>
          <w:szCs w:val="18"/>
        </w:rPr>
        <w:t>i</w:t>
      </w:r>
      <w:r w:rsidR="00E913A6" w:rsidRPr="00265A9E">
        <w:rPr>
          <w:sz w:val="18"/>
          <w:szCs w:val="18"/>
        </w:rPr>
        <w:t>n geç</w:t>
      </w:r>
      <w:r w:rsidR="00BE33B0" w:rsidRPr="00265A9E">
        <w:rPr>
          <w:sz w:val="18"/>
          <w:szCs w:val="18"/>
        </w:rPr>
        <w:t>erlidir</w:t>
      </w:r>
      <w:r w:rsidR="00AC2681" w:rsidRPr="00265A9E">
        <w:rPr>
          <w:sz w:val="18"/>
          <w:szCs w:val="18"/>
        </w:rPr>
        <w:t>”</w:t>
      </w:r>
    </w:p>
    <w:p w:rsidR="008345B7" w:rsidRPr="00265A9E" w:rsidRDefault="008345B7" w:rsidP="00E913A6">
      <w:pPr>
        <w:spacing w:line="288" w:lineRule="atLeast"/>
        <w:rPr>
          <w:sz w:val="18"/>
          <w:szCs w:val="18"/>
        </w:rPr>
      </w:pPr>
    </w:p>
    <w:tbl>
      <w:tblPr>
        <w:tblW w:w="8835" w:type="dxa"/>
        <w:tblInd w:w="55" w:type="dxa"/>
        <w:tblCellMar>
          <w:left w:w="70" w:type="dxa"/>
          <w:right w:w="70" w:type="dxa"/>
        </w:tblCellMar>
        <w:tblLook w:val="0000" w:firstRow="0" w:lastRow="0" w:firstColumn="0" w:lastColumn="0" w:noHBand="0" w:noVBand="0"/>
      </w:tblPr>
      <w:tblGrid>
        <w:gridCol w:w="2620"/>
        <w:gridCol w:w="1355"/>
        <w:gridCol w:w="1705"/>
        <w:gridCol w:w="3155"/>
      </w:tblGrid>
      <w:tr w:rsidR="00265A9E" w:rsidRPr="00265A9E">
        <w:trPr>
          <w:trHeight w:val="285"/>
          <w:tblHeader/>
        </w:trPr>
        <w:tc>
          <w:tcPr>
            <w:tcW w:w="2620" w:type="dxa"/>
            <w:tcBorders>
              <w:top w:val="single" w:sz="12" w:space="0" w:color="auto"/>
              <w:left w:val="single" w:sz="12" w:space="0" w:color="auto"/>
              <w:bottom w:val="single" w:sz="8" w:space="0" w:color="auto"/>
              <w:right w:val="single" w:sz="4" w:space="0" w:color="auto"/>
            </w:tcBorders>
            <w:shd w:val="clear" w:color="auto" w:fill="E6E6E6"/>
            <w:vAlign w:val="center"/>
          </w:tcPr>
          <w:p w:rsidR="002D6884" w:rsidRPr="00265A9E" w:rsidRDefault="002D6884" w:rsidP="00ED0748">
            <w:pPr>
              <w:rPr>
                <w:b/>
                <w:bCs/>
                <w:sz w:val="18"/>
                <w:szCs w:val="18"/>
              </w:rPr>
            </w:pPr>
            <w:r w:rsidRPr="00265A9E">
              <w:rPr>
                <w:b/>
                <w:bCs/>
                <w:sz w:val="18"/>
                <w:szCs w:val="18"/>
              </w:rPr>
              <w:t>Klinik Durum</w:t>
            </w:r>
          </w:p>
        </w:tc>
        <w:tc>
          <w:tcPr>
            <w:tcW w:w="1355" w:type="dxa"/>
            <w:tcBorders>
              <w:top w:val="single" w:sz="12" w:space="0" w:color="auto"/>
              <w:left w:val="single" w:sz="4" w:space="0" w:color="auto"/>
              <w:bottom w:val="single" w:sz="8" w:space="0" w:color="auto"/>
              <w:right w:val="single" w:sz="4" w:space="0" w:color="auto"/>
            </w:tcBorders>
            <w:shd w:val="clear" w:color="auto" w:fill="E6E6E6"/>
            <w:vAlign w:val="center"/>
          </w:tcPr>
          <w:p w:rsidR="002D6884" w:rsidRPr="00265A9E" w:rsidRDefault="002D6884" w:rsidP="00ED0748">
            <w:pPr>
              <w:rPr>
                <w:b/>
                <w:bCs/>
                <w:sz w:val="18"/>
                <w:szCs w:val="18"/>
              </w:rPr>
            </w:pPr>
            <w:r w:rsidRPr="00265A9E">
              <w:rPr>
                <w:b/>
                <w:bCs/>
                <w:sz w:val="18"/>
                <w:szCs w:val="18"/>
              </w:rPr>
              <w:t>ICD-10 kodu</w:t>
            </w:r>
          </w:p>
        </w:tc>
        <w:tc>
          <w:tcPr>
            <w:tcW w:w="1705" w:type="dxa"/>
            <w:tcBorders>
              <w:top w:val="single" w:sz="12" w:space="0" w:color="auto"/>
              <w:left w:val="single" w:sz="4" w:space="0" w:color="auto"/>
              <w:bottom w:val="single" w:sz="8" w:space="0" w:color="auto"/>
              <w:right w:val="single" w:sz="4" w:space="0" w:color="auto"/>
            </w:tcBorders>
            <w:shd w:val="clear" w:color="auto" w:fill="E6E6E6"/>
            <w:vAlign w:val="center"/>
          </w:tcPr>
          <w:p w:rsidR="002D6884" w:rsidRPr="00265A9E" w:rsidRDefault="002D6884" w:rsidP="00ED0748">
            <w:pPr>
              <w:rPr>
                <w:b/>
                <w:bCs/>
                <w:sz w:val="18"/>
                <w:szCs w:val="18"/>
              </w:rPr>
            </w:pPr>
            <w:r w:rsidRPr="00265A9E">
              <w:rPr>
                <w:b/>
                <w:bCs/>
                <w:sz w:val="18"/>
                <w:szCs w:val="18"/>
                <w:lang w:val="sv-SE"/>
              </w:rPr>
              <w:t>PET endikasyonları</w:t>
            </w:r>
          </w:p>
        </w:tc>
        <w:tc>
          <w:tcPr>
            <w:tcW w:w="3155" w:type="dxa"/>
            <w:tcBorders>
              <w:top w:val="single" w:sz="12" w:space="0" w:color="auto"/>
              <w:left w:val="single" w:sz="4" w:space="0" w:color="auto"/>
              <w:bottom w:val="single" w:sz="8" w:space="0" w:color="auto"/>
              <w:right w:val="single" w:sz="12" w:space="0" w:color="auto"/>
            </w:tcBorders>
            <w:shd w:val="clear" w:color="auto" w:fill="E6E6E6"/>
            <w:vAlign w:val="center"/>
          </w:tcPr>
          <w:p w:rsidR="002D6884" w:rsidRPr="00265A9E" w:rsidRDefault="002D6884" w:rsidP="00ED0748">
            <w:pPr>
              <w:rPr>
                <w:b/>
                <w:bCs/>
                <w:sz w:val="18"/>
                <w:szCs w:val="18"/>
              </w:rPr>
            </w:pPr>
            <w:r w:rsidRPr="00265A9E">
              <w:rPr>
                <w:b/>
                <w:bCs/>
                <w:sz w:val="18"/>
                <w:szCs w:val="18"/>
              </w:rPr>
              <w:t>Açıklama ve sınırlamalar</w:t>
            </w:r>
          </w:p>
        </w:tc>
      </w:tr>
      <w:tr w:rsidR="00265A9E" w:rsidRPr="00265A9E">
        <w:trPr>
          <w:trHeight w:val="510"/>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Lenfoma</w:t>
            </w:r>
            <w:proofErr w:type="spellEnd"/>
            <w:r w:rsidRPr="00265A9E">
              <w:rPr>
                <w:b/>
                <w:bCs/>
                <w:sz w:val="18"/>
                <w:szCs w:val="18"/>
              </w:rPr>
              <w:t xml:space="preserve"> (</w:t>
            </w:r>
            <w:proofErr w:type="spellStart"/>
            <w:r w:rsidRPr="00265A9E">
              <w:rPr>
                <w:b/>
                <w:bCs/>
                <w:sz w:val="18"/>
                <w:szCs w:val="18"/>
              </w:rPr>
              <w:t>Hodgkin</w:t>
            </w:r>
            <w:proofErr w:type="spellEnd"/>
            <w:r w:rsidRPr="00265A9E">
              <w:rPr>
                <w:b/>
                <w:bCs/>
                <w:sz w:val="18"/>
                <w:szCs w:val="18"/>
              </w:rPr>
              <w:t xml:space="preserve"> hastalığı ve </w:t>
            </w:r>
            <w:proofErr w:type="spellStart"/>
            <w:r w:rsidRPr="00265A9E">
              <w:rPr>
                <w:b/>
                <w:bCs/>
                <w:sz w:val="18"/>
                <w:szCs w:val="18"/>
              </w:rPr>
              <w:t>nonHodgkin</w:t>
            </w:r>
            <w:proofErr w:type="spellEnd"/>
            <w:r w:rsidRPr="00265A9E">
              <w:rPr>
                <w:b/>
                <w:bCs/>
                <w:sz w:val="18"/>
                <w:szCs w:val="18"/>
              </w:rPr>
              <w:t xml:space="preserve"> </w:t>
            </w:r>
            <w:proofErr w:type="spellStart"/>
            <w:r w:rsidRPr="00265A9E">
              <w:rPr>
                <w:b/>
                <w:bCs/>
                <w:sz w:val="18"/>
                <w:szCs w:val="18"/>
              </w:rPr>
              <w:t>lenfoma</w:t>
            </w:r>
            <w:proofErr w:type="spellEnd"/>
            <w:r w:rsidRPr="00265A9E">
              <w:rPr>
                <w:b/>
                <w:bCs/>
                <w:sz w:val="18"/>
                <w:szCs w:val="18"/>
              </w:rPr>
              <w:t>-NHL)</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C81 – C85</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FDG tutmayan düşük </w:t>
            </w:r>
            <w:proofErr w:type="spellStart"/>
            <w:r w:rsidRPr="00265A9E">
              <w:rPr>
                <w:sz w:val="18"/>
                <w:szCs w:val="18"/>
              </w:rPr>
              <w:t>grade’li</w:t>
            </w:r>
            <w:proofErr w:type="spellEnd"/>
            <w:r w:rsidRPr="00265A9E">
              <w:rPr>
                <w:sz w:val="18"/>
                <w:szCs w:val="18"/>
              </w:rPr>
              <w:t xml:space="preserve"> NHL olguları hariç</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FDG tutmayan düşük </w:t>
            </w:r>
            <w:proofErr w:type="spellStart"/>
            <w:r w:rsidRPr="00265A9E">
              <w:rPr>
                <w:sz w:val="18"/>
                <w:szCs w:val="18"/>
              </w:rPr>
              <w:t>grade’li</w:t>
            </w:r>
            <w:proofErr w:type="spellEnd"/>
            <w:r w:rsidRPr="00265A9E">
              <w:rPr>
                <w:sz w:val="18"/>
                <w:szCs w:val="18"/>
              </w:rPr>
              <w:t xml:space="preserve"> NHL olguları hariç</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Kemosensitivite</w:t>
            </w:r>
            <w:proofErr w:type="spellEnd"/>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FDG tutmayan düşük </w:t>
            </w:r>
            <w:proofErr w:type="spellStart"/>
            <w:r w:rsidRPr="00265A9E">
              <w:rPr>
                <w:sz w:val="18"/>
                <w:szCs w:val="18"/>
              </w:rPr>
              <w:t>grade’li</w:t>
            </w:r>
            <w:proofErr w:type="spellEnd"/>
            <w:r w:rsidRPr="00265A9E">
              <w:rPr>
                <w:sz w:val="18"/>
                <w:szCs w:val="18"/>
              </w:rPr>
              <w:t xml:space="preserve"> NHL olguları hariç</w:t>
            </w:r>
          </w:p>
        </w:tc>
      </w:tr>
      <w:tr w:rsidR="00265A9E" w:rsidRPr="00265A9E">
        <w:trPr>
          <w:trHeight w:val="510"/>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Malign</w:t>
            </w:r>
            <w:proofErr w:type="spellEnd"/>
            <w:r w:rsidRPr="00265A9E">
              <w:rPr>
                <w:b/>
                <w:bCs/>
                <w:sz w:val="18"/>
                <w:szCs w:val="18"/>
              </w:rPr>
              <w:t xml:space="preserve"> </w:t>
            </w:r>
            <w:proofErr w:type="spellStart"/>
            <w:r w:rsidRPr="00265A9E">
              <w:rPr>
                <w:b/>
                <w:bCs/>
                <w:sz w:val="18"/>
                <w:szCs w:val="18"/>
              </w:rPr>
              <w:t>melanom</w:t>
            </w:r>
            <w:proofErr w:type="spellEnd"/>
            <w:r w:rsidRPr="00265A9E">
              <w:rPr>
                <w:sz w:val="18"/>
                <w:szCs w:val="18"/>
              </w:rPr>
              <w:t xml:space="preserve"> </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C43</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Breslow</w:t>
            </w:r>
            <w:proofErr w:type="spellEnd"/>
            <w:r w:rsidRPr="00265A9E">
              <w:rPr>
                <w:sz w:val="18"/>
                <w:szCs w:val="18"/>
              </w:rPr>
              <w:t xml:space="preserve"> kalınlığı ≥0.76 mm ve/veya </w:t>
            </w:r>
            <w:proofErr w:type="spellStart"/>
            <w:r w:rsidRPr="00265A9E">
              <w:rPr>
                <w:sz w:val="18"/>
                <w:szCs w:val="18"/>
              </w:rPr>
              <w:t>Clark</w:t>
            </w:r>
            <w:proofErr w:type="spellEnd"/>
            <w:r w:rsidRPr="00265A9E">
              <w:rPr>
                <w:sz w:val="18"/>
                <w:szCs w:val="18"/>
              </w:rPr>
              <w:t xml:space="preserve"> </w:t>
            </w:r>
            <w:proofErr w:type="spellStart"/>
            <w:proofErr w:type="gramStart"/>
            <w:r w:rsidRPr="00265A9E">
              <w:rPr>
                <w:sz w:val="18"/>
                <w:szCs w:val="18"/>
              </w:rPr>
              <w:t>level</w:t>
            </w:r>
            <w:proofErr w:type="spellEnd"/>
            <w:r w:rsidRPr="00265A9E">
              <w:rPr>
                <w:sz w:val="18"/>
                <w:szCs w:val="18"/>
              </w:rPr>
              <w:t xml:space="preserve">  ≥</w:t>
            </w:r>
            <w:proofErr w:type="gramEnd"/>
            <w:r w:rsidRPr="00265A9E">
              <w:rPr>
                <w:sz w:val="18"/>
                <w:szCs w:val="18"/>
              </w:rPr>
              <w:t xml:space="preserve"> III olgularda geçerlidir</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76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Beyin tümörleri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C71</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Diğer yöntemlerle netice elde edilemeyen 1 cm’den büyük kitle lezyonların </w:t>
            </w:r>
            <w:proofErr w:type="spellStart"/>
            <w:r w:rsidRPr="00265A9E">
              <w:rPr>
                <w:sz w:val="18"/>
                <w:szCs w:val="18"/>
              </w:rPr>
              <w:t>metabolik</w:t>
            </w:r>
            <w:proofErr w:type="spellEnd"/>
            <w:r w:rsidRPr="00265A9E">
              <w:rPr>
                <w:sz w:val="18"/>
                <w:szCs w:val="18"/>
              </w:rPr>
              <w:t xml:space="preserve"> </w:t>
            </w:r>
            <w:proofErr w:type="spellStart"/>
            <w:r w:rsidRPr="00265A9E">
              <w:rPr>
                <w:sz w:val="18"/>
                <w:szCs w:val="18"/>
              </w:rPr>
              <w:t>karakterizasyonu</w:t>
            </w:r>
            <w:proofErr w:type="spellEnd"/>
            <w:r w:rsidRPr="00265A9E">
              <w:rPr>
                <w:sz w:val="18"/>
                <w:szCs w:val="18"/>
              </w:rPr>
              <w:t xml:space="preserve"> </w:t>
            </w:r>
          </w:p>
        </w:tc>
      </w:tr>
      <w:tr w:rsidR="00265A9E" w:rsidRPr="00265A9E">
        <w:trPr>
          <w:trHeight w:val="37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r w:rsidRPr="00265A9E">
              <w:rPr>
                <w:sz w:val="18"/>
                <w:szCs w:val="18"/>
              </w:rPr>
              <w:t xml:space="preserve"> </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Radyasyon nekrozu-</w:t>
            </w:r>
            <w:proofErr w:type="spellStart"/>
            <w:r w:rsidRPr="00265A9E">
              <w:rPr>
                <w:sz w:val="18"/>
                <w:szCs w:val="18"/>
              </w:rPr>
              <w:t>rekürren</w:t>
            </w:r>
            <w:proofErr w:type="spellEnd"/>
            <w:r w:rsidRPr="00265A9E">
              <w:rPr>
                <w:sz w:val="18"/>
                <w:szCs w:val="18"/>
              </w:rPr>
              <w:t>/</w:t>
            </w:r>
            <w:proofErr w:type="spellStart"/>
            <w:r w:rsidRPr="00265A9E">
              <w:rPr>
                <w:sz w:val="18"/>
                <w:szCs w:val="18"/>
              </w:rPr>
              <w:t>rezidiv</w:t>
            </w:r>
            <w:proofErr w:type="spellEnd"/>
            <w:r w:rsidRPr="00265A9E">
              <w:rPr>
                <w:sz w:val="18"/>
                <w:szCs w:val="18"/>
              </w:rPr>
              <w:t xml:space="preserve"> tümör ayırımı</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Baş-boyun kanserleri (</w:t>
            </w:r>
            <w:proofErr w:type="spellStart"/>
            <w:r w:rsidRPr="00265A9E">
              <w:rPr>
                <w:b/>
                <w:bCs/>
                <w:sz w:val="18"/>
                <w:szCs w:val="18"/>
              </w:rPr>
              <w:t>tiroid</w:t>
            </w:r>
            <w:proofErr w:type="spellEnd"/>
            <w:r w:rsidRPr="00265A9E">
              <w:rPr>
                <w:b/>
                <w:bCs/>
                <w:sz w:val="18"/>
                <w:szCs w:val="18"/>
              </w:rPr>
              <w:t xml:space="preserve"> tümörleri hariç)</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C534C0" w:rsidRPr="00265A9E" w:rsidRDefault="002D6884" w:rsidP="00591303">
            <w:pPr>
              <w:rPr>
                <w:b/>
                <w:bCs/>
                <w:sz w:val="18"/>
                <w:szCs w:val="18"/>
              </w:rPr>
            </w:pPr>
            <w:r w:rsidRPr="00265A9E">
              <w:rPr>
                <w:b/>
                <w:bCs/>
                <w:sz w:val="18"/>
                <w:szCs w:val="18"/>
              </w:rPr>
              <w:t>C00 – C14</w:t>
            </w:r>
            <w:r w:rsidR="00C534C0" w:rsidRPr="00265A9E">
              <w:rPr>
                <w:b/>
                <w:bCs/>
                <w:sz w:val="18"/>
                <w:szCs w:val="18"/>
              </w:rPr>
              <w:t>-C32</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 (</w:t>
            </w:r>
            <w:proofErr w:type="spellStart"/>
            <w:r w:rsidRPr="00265A9E">
              <w:rPr>
                <w:sz w:val="18"/>
                <w:szCs w:val="18"/>
              </w:rPr>
              <w:t>primer</w:t>
            </w:r>
            <w:proofErr w:type="spellEnd"/>
            <w:r w:rsidRPr="00265A9E">
              <w:rPr>
                <w:sz w:val="18"/>
                <w:szCs w:val="18"/>
              </w:rPr>
              <w:t xml:space="preserve"> odak arama)</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Metastatik</w:t>
            </w:r>
            <w:proofErr w:type="spellEnd"/>
            <w:r w:rsidRPr="00265A9E">
              <w:rPr>
                <w:sz w:val="18"/>
                <w:szCs w:val="18"/>
              </w:rPr>
              <w:t xml:space="preserve"> </w:t>
            </w:r>
            <w:proofErr w:type="spellStart"/>
            <w:r w:rsidRPr="00265A9E">
              <w:rPr>
                <w:sz w:val="18"/>
                <w:szCs w:val="18"/>
              </w:rPr>
              <w:t>servikal</w:t>
            </w:r>
            <w:proofErr w:type="spellEnd"/>
            <w:r w:rsidRPr="00265A9E">
              <w:rPr>
                <w:sz w:val="18"/>
                <w:szCs w:val="18"/>
              </w:rPr>
              <w:t xml:space="preserve"> lenf </w:t>
            </w:r>
            <w:proofErr w:type="spellStart"/>
            <w:r w:rsidRPr="00265A9E">
              <w:rPr>
                <w:sz w:val="18"/>
                <w:szCs w:val="18"/>
              </w:rPr>
              <w:t>nodu</w:t>
            </w:r>
            <w:proofErr w:type="spellEnd"/>
            <w:r w:rsidRPr="00265A9E">
              <w:rPr>
                <w:sz w:val="18"/>
                <w:szCs w:val="18"/>
              </w:rPr>
              <w:t xml:space="preserve"> varsa geçerlidir</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Tedaviye yanıt </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1080"/>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Tiroid</w:t>
            </w:r>
            <w:proofErr w:type="spellEnd"/>
            <w:r w:rsidRPr="00265A9E">
              <w:rPr>
                <w:b/>
                <w:bCs/>
                <w:sz w:val="18"/>
                <w:szCs w:val="18"/>
              </w:rPr>
              <w:t xml:space="preserve"> kanserleri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C73</w:t>
            </w:r>
          </w:p>
        </w:tc>
        <w:tc>
          <w:tcPr>
            <w:tcW w:w="170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 İyi </w:t>
            </w:r>
            <w:proofErr w:type="spellStart"/>
            <w:r w:rsidRPr="00265A9E">
              <w:rPr>
                <w:sz w:val="18"/>
                <w:szCs w:val="18"/>
              </w:rPr>
              <w:t>differansiye</w:t>
            </w:r>
            <w:proofErr w:type="spellEnd"/>
            <w:r w:rsidRPr="00265A9E">
              <w:rPr>
                <w:sz w:val="18"/>
                <w:szCs w:val="18"/>
              </w:rPr>
              <w:t xml:space="preserve"> </w:t>
            </w:r>
            <w:proofErr w:type="spellStart"/>
            <w:r w:rsidRPr="00265A9E">
              <w:rPr>
                <w:sz w:val="18"/>
                <w:szCs w:val="18"/>
              </w:rPr>
              <w:t>tiroid</w:t>
            </w:r>
            <w:proofErr w:type="spellEnd"/>
            <w:r w:rsidRPr="00265A9E">
              <w:rPr>
                <w:sz w:val="18"/>
                <w:szCs w:val="18"/>
              </w:rPr>
              <w:t xml:space="preserve"> tümörlerinde </w:t>
            </w:r>
            <w:proofErr w:type="spellStart"/>
            <w:r w:rsidRPr="00265A9E">
              <w:rPr>
                <w:sz w:val="18"/>
                <w:szCs w:val="18"/>
              </w:rPr>
              <w:t>tiroidektomi</w:t>
            </w:r>
            <w:proofErr w:type="spellEnd"/>
            <w:r w:rsidRPr="00265A9E">
              <w:rPr>
                <w:sz w:val="18"/>
                <w:szCs w:val="18"/>
              </w:rPr>
              <w:t xml:space="preserve"> ve </w:t>
            </w:r>
            <w:proofErr w:type="spellStart"/>
            <w:r w:rsidRPr="00265A9E">
              <w:rPr>
                <w:sz w:val="18"/>
                <w:szCs w:val="18"/>
              </w:rPr>
              <w:t>radyoiyot</w:t>
            </w:r>
            <w:proofErr w:type="spellEnd"/>
            <w:r w:rsidRPr="00265A9E">
              <w:rPr>
                <w:sz w:val="18"/>
                <w:szCs w:val="18"/>
              </w:rPr>
              <w:t xml:space="preserve"> </w:t>
            </w:r>
            <w:proofErr w:type="spellStart"/>
            <w:r w:rsidRPr="00265A9E">
              <w:rPr>
                <w:sz w:val="18"/>
                <w:szCs w:val="18"/>
              </w:rPr>
              <w:t>ablasyon</w:t>
            </w:r>
            <w:proofErr w:type="spellEnd"/>
            <w:r w:rsidRPr="00265A9E">
              <w:rPr>
                <w:sz w:val="18"/>
                <w:szCs w:val="18"/>
              </w:rPr>
              <w:t xml:space="preserve"> tedavisi sonrası takipte tüm vücut iyot-131 tarama tetkiki negatif olan ve serum </w:t>
            </w:r>
            <w:proofErr w:type="spellStart"/>
            <w:r w:rsidRPr="00265A9E">
              <w:rPr>
                <w:sz w:val="18"/>
                <w:szCs w:val="18"/>
              </w:rPr>
              <w:t>tiroglobulin</w:t>
            </w:r>
            <w:proofErr w:type="spellEnd"/>
            <w:r w:rsidRPr="00265A9E">
              <w:rPr>
                <w:sz w:val="18"/>
                <w:szCs w:val="18"/>
              </w:rPr>
              <w:t xml:space="preserve"> düzeyi artması durumunda uygulanır</w:t>
            </w:r>
          </w:p>
        </w:tc>
      </w:tr>
      <w:tr w:rsidR="00265A9E" w:rsidRPr="00265A9E">
        <w:trPr>
          <w:trHeight w:val="82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sz w:val="18"/>
                <w:szCs w:val="18"/>
              </w:rPr>
            </w:pPr>
          </w:p>
        </w:tc>
        <w:tc>
          <w:tcPr>
            <w:tcW w:w="3155" w:type="dxa"/>
            <w:tcBorders>
              <w:top w:val="nil"/>
              <w:left w:val="nil"/>
              <w:bottom w:val="single" w:sz="8" w:space="0" w:color="auto"/>
              <w:right w:val="single" w:sz="12" w:space="0" w:color="auto"/>
            </w:tcBorders>
            <w:shd w:val="clear" w:color="auto" w:fill="auto"/>
            <w:vAlign w:val="center"/>
          </w:tcPr>
          <w:p w:rsidR="00377DFE" w:rsidRPr="00265A9E" w:rsidRDefault="002D6884" w:rsidP="00ED0748">
            <w:pPr>
              <w:rPr>
                <w:sz w:val="18"/>
                <w:szCs w:val="18"/>
              </w:rPr>
            </w:pPr>
            <w:r w:rsidRPr="00265A9E">
              <w:rPr>
                <w:sz w:val="18"/>
                <w:szCs w:val="18"/>
              </w:rPr>
              <w:t xml:space="preserve">- </w:t>
            </w:r>
            <w:proofErr w:type="spellStart"/>
            <w:r w:rsidRPr="00265A9E">
              <w:rPr>
                <w:sz w:val="18"/>
                <w:szCs w:val="18"/>
              </w:rPr>
              <w:t>Meduller</w:t>
            </w:r>
            <w:proofErr w:type="spellEnd"/>
            <w:r w:rsidRPr="00265A9E">
              <w:rPr>
                <w:sz w:val="18"/>
                <w:szCs w:val="18"/>
              </w:rPr>
              <w:t xml:space="preserve"> kanserde </w:t>
            </w:r>
            <w:proofErr w:type="spellStart"/>
            <w:r w:rsidRPr="00265A9E">
              <w:rPr>
                <w:sz w:val="18"/>
                <w:szCs w:val="18"/>
              </w:rPr>
              <w:t>tiroidektomi</w:t>
            </w:r>
            <w:proofErr w:type="spellEnd"/>
            <w:r w:rsidRPr="00265A9E">
              <w:rPr>
                <w:sz w:val="18"/>
                <w:szCs w:val="18"/>
              </w:rPr>
              <w:t xml:space="preserve"> sonrası takipte diğer görüntüleme yöntemlerinin açıklayamadığı </w:t>
            </w:r>
            <w:proofErr w:type="spellStart"/>
            <w:r w:rsidRPr="00265A9E">
              <w:rPr>
                <w:sz w:val="18"/>
                <w:szCs w:val="18"/>
              </w:rPr>
              <w:t>kalsitonin</w:t>
            </w:r>
            <w:proofErr w:type="spellEnd"/>
            <w:r w:rsidRPr="00265A9E">
              <w:rPr>
                <w:sz w:val="18"/>
                <w:szCs w:val="18"/>
              </w:rPr>
              <w:t xml:space="preserve"> ve/veya CEA düzeyleri yükselmelerinde uygulanır</w:t>
            </w:r>
            <w:r w:rsidR="00377DFE" w:rsidRPr="00265A9E">
              <w:rPr>
                <w:sz w:val="18"/>
                <w:szCs w:val="18"/>
              </w:rPr>
              <w:t>.</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Meme Kanseri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C50</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Tedaviye yanıt </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Akciğer (Küçük hücreli dışı ve küçük hücreli)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C34</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Soliter</w:t>
            </w:r>
            <w:proofErr w:type="spellEnd"/>
            <w:r w:rsidRPr="00265A9E">
              <w:rPr>
                <w:sz w:val="18"/>
                <w:szCs w:val="18"/>
              </w:rPr>
              <w:t xml:space="preserve"> </w:t>
            </w:r>
            <w:proofErr w:type="spellStart"/>
            <w:r w:rsidRPr="00265A9E">
              <w:rPr>
                <w:sz w:val="18"/>
                <w:szCs w:val="18"/>
              </w:rPr>
              <w:t>pulmoner</w:t>
            </w:r>
            <w:proofErr w:type="spellEnd"/>
            <w:r w:rsidRPr="00265A9E">
              <w:rPr>
                <w:sz w:val="18"/>
                <w:szCs w:val="18"/>
              </w:rPr>
              <w:t xml:space="preserve"> nodül değerlendirme (≥1cm)</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Tedaviye yanıt </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510"/>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Plevral</w:t>
            </w:r>
            <w:proofErr w:type="spellEnd"/>
            <w:r w:rsidRPr="00265A9E">
              <w:rPr>
                <w:b/>
                <w:bCs/>
                <w:sz w:val="18"/>
                <w:szCs w:val="18"/>
              </w:rPr>
              <w:t xml:space="preserve"> </w:t>
            </w:r>
            <w:proofErr w:type="spellStart"/>
            <w:r w:rsidRPr="00265A9E">
              <w:rPr>
                <w:b/>
                <w:bCs/>
                <w:sz w:val="18"/>
                <w:szCs w:val="18"/>
              </w:rPr>
              <w:t>malignite</w:t>
            </w:r>
            <w:proofErr w:type="spellEnd"/>
            <w:r w:rsidRPr="00265A9E">
              <w:rPr>
                <w:b/>
                <w:bCs/>
                <w:sz w:val="18"/>
                <w:szCs w:val="18"/>
              </w:rPr>
              <w:t xml:space="preserve"> (</w:t>
            </w:r>
            <w:proofErr w:type="spellStart"/>
            <w:r w:rsidRPr="00265A9E">
              <w:rPr>
                <w:b/>
                <w:bCs/>
                <w:sz w:val="18"/>
                <w:szCs w:val="18"/>
              </w:rPr>
              <w:t>Mezotelyoma</w:t>
            </w:r>
            <w:proofErr w:type="spellEnd"/>
            <w:r w:rsidRPr="00265A9E">
              <w:rPr>
                <w:b/>
                <w:bCs/>
                <w:sz w:val="18"/>
                <w:szCs w:val="18"/>
              </w:rPr>
              <w:t>)</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C45</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Kalsifiye</w:t>
            </w:r>
            <w:proofErr w:type="spellEnd"/>
            <w:r w:rsidRPr="00265A9E">
              <w:rPr>
                <w:sz w:val="18"/>
                <w:szCs w:val="18"/>
              </w:rPr>
              <w:t xml:space="preserve"> olmayan </w:t>
            </w:r>
            <w:proofErr w:type="spellStart"/>
            <w:r w:rsidRPr="00265A9E">
              <w:rPr>
                <w:sz w:val="18"/>
                <w:szCs w:val="18"/>
              </w:rPr>
              <w:t>plevral</w:t>
            </w:r>
            <w:proofErr w:type="spellEnd"/>
            <w:r w:rsidRPr="00265A9E">
              <w:rPr>
                <w:sz w:val="18"/>
                <w:szCs w:val="18"/>
              </w:rPr>
              <w:t xml:space="preserve"> kalınlaşmalar ve/veya açıklanamayan </w:t>
            </w:r>
            <w:proofErr w:type="spellStart"/>
            <w:r w:rsidRPr="00265A9E">
              <w:rPr>
                <w:sz w:val="18"/>
                <w:szCs w:val="18"/>
              </w:rPr>
              <w:t>efüzyonların</w:t>
            </w:r>
            <w:proofErr w:type="spellEnd"/>
            <w:r w:rsidRPr="00265A9E">
              <w:rPr>
                <w:sz w:val="18"/>
                <w:szCs w:val="18"/>
              </w:rPr>
              <w:t xml:space="preserve"> değerlendirilmesi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Tedaviye yanıt </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Mediasten</w:t>
            </w:r>
            <w:proofErr w:type="spellEnd"/>
            <w:r w:rsidRPr="00265A9E">
              <w:rPr>
                <w:b/>
                <w:bCs/>
                <w:sz w:val="18"/>
                <w:szCs w:val="18"/>
              </w:rPr>
              <w:t>-</w:t>
            </w:r>
            <w:proofErr w:type="spellStart"/>
            <w:r w:rsidRPr="00265A9E">
              <w:rPr>
                <w:b/>
                <w:bCs/>
                <w:sz w:val="18"/>
                <w:szCs w:val="18"/>
              </w:rPr>
              <w:t>timus</w:t>
            </w:r>
            <w:proofErr w:type="spellEnd"/>
            <w:r w:rsidRPr="00265A9E">
              <w:rPr>
                <w:b/>
                <w:bCs/>
                <w:sz w:val="18"/>
                <w:szCs w:val="18"/>
              </w:rPr>
              <w:t xml:space="preserve">-kalp tümörleri </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C37 – C38</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Şüpheli kitlelerde </w:t>
            </w:r>
            <w:proofErr w:type="spellStart"/>
            <w:r w:rsidRPr="00265A9E">
              <w:rPr>
                <w:sz w:val="18"/>
                <w:szCs w:val="18"/>
              </w:rPr>
              <w:t>metabolik</w:t>
            </w:r>
            <w:proofErr w:type="spellEnd"/>
            <w:r w:rsidRPr="00265A9E">
              <w:rPr>
                <w:sz w:val="18"/>
                <w:szCs w:val="18"/>
              </w:rPr>
              <w:t xml:space="preserve"> </w:t>
            </w:r>
            <w:proofErr w:type="spellStart"/>
            <w:r w:rsidRPr="00265A9E">
              <w:rPr>
                <w:sz w:val="18"/>
                <w:szCs w:val="18"/>
              </w:rPr>
              <w:t>karakterizasyon</w:t>
            </w:r>
            <w:proofErr w:type="spellEnd"/>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Tedaviye yanıt </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Özefagus</w:t>
            </w:r>
            <w:proofErr w:type="spellEnd"/>
            <w:r w:rsidRPr="00265A9E">
              <w:rPr>
                <w:b/>
                <w:bCs/>
                <w:sz w:val="18"/>
                <w:szCs w:val="18"/>
              </w:rPr>
              <w:t xml:space="preserve"> kanseri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C-15</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Tedaviye yanıt </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 xml:space="preserve">Mide kanseri </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C-16</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Tedaviye yanıt </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Kolorektal</w:t>
            </w:r>
            <w:proofErr w:type="spellEnd"/>
            <w:r w:rsidRPr="00265A9E">
              <w:rPr>
                <w:b/>
                <w:bCs/>
                <w:sz w:val="18"/>
                <w:szCs w:val="18"/>
              </w:rPr>
              <w:t xml:space="preserve"> kanser</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C18 – C21</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p w:rsidR="00377DFE" w:rsidRPr="00265A9E" w:rsidRDefault="00377DFE" w:rsidP="00ED0748">
            <w:pPr>
              <w:rPr>
                <w:sz w:val="18"/>
                <w:szCs w:val="18"/>
              </w:rPr>
            </w:pPr>
          </w:p>
        </w:tc>
      </w:tr>
      <w:tr w:rsidR="00265A9E" w:rsidRPr="00265A9E">
        <w:trPr>
          <w:trHeight w:val="255"/>
        </w:trPr>
        <w:tc>
          <w:tcPr>
            <w:tcW w:w="2620" w:type="dxa"/>
            <w:vMerge w:val="restart"/>
            <w:tcBorders>
              <w:top w:val="nil"/>
              <w:left w:val="single" w:sz="12" w:space="0" w:color="auto"/>
              <w:bottom w:val="nil"/>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İnce barsak tümörleri</w:t>
            </w:r>
          </w:p>
        </w:tc>
        <w:tc>
          <w:tcPr>
            <w:tcW w:w="1355" w:type="dxa"/>
            <w:vMerge w:val="restart"/>
            <w:tcBorders>
              <w:top w:val="nil"/>
              <w:left w:val="single" w:sz="4" w:space="0" w:color="auto"/>
              <w:bottom w:val="nil"/>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C17</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Şüpheli kitle gösterilmesi durumunda uygulanır</w:t>
            </w:r>
          </w:p>
        </w:tc>
      </w:tr>
      <w:tr w:rsidR="00265A9E" w:rsidRPr="00265A9E">
        <w:trPr>
          <w:trHeight w:val="255"/>
        </w:trPr>
        <w:tc>
          <w:tcPr>
            <w:tcW w:w="2620" w:type="dxa"/>
            <w:vMerge/>
            <w:tcBorders>
              <w:top w:val="nil"/>
              <w:left w:val="single" w:sz="12" w:space="0" w:color="auto"/>
              <w:bottom w:val="nil"/>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nil"/>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p w:rsidR="00377DFE" w:rsidRPr="00265A9E" w:rsidRDefault="00377DFE" w:rsidP="00ED0748">
            <w:pPr>
              <w:rPr>
                <w:sz w:val="18"/>
                <w:szCs w:val="18"/>
              </w:rPr>
            </w:pPr>
          </w:p>
        </w:tc>
      </w:tr>
      <w:tr w:rsidR="00265A9E" w:rsidRPr="00265A9E">
        <w:trPr>
          <w:trHeight w:val="255"/>
        </w:trPr>
        <w:tc>
          <w:tcPr>
            <w:tcW w:w="2620" w:type="dxa"/>
            <w:vMerge/>
            <w:tcBorders>
              <w:top w:val="nil"/>
              <w:left w:val="single" w:sz="12" w:space="0" w:color="auto"/>
              <w:bottom w:val="nil"/>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nil"/>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nil"/>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nil"/>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nil"/>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Tedaviye yanıt </w:t>
            </w:r>
          </w:p>
        </w:tc>
        <w:tc>
          <w:tcPr>
            <w:tcW w:w="3155" w:type="dxa"/>
            <w:tcBorders>
              <w:top w:val="nil"/>
              <w:left w:val="nil"/>
              <w:bottom w:val="nil"/>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p w:rsidR="00377DFE" w:rsidRPr="00265A9E" w:rsidRDefault="00377DFE" w:rsidP="00ED0748">
            <w:pPr>
              <w:rPr>
                <w:sz w:val="18"/>
                <w:szCs w:val="18"/>
              </w:rPr>
            </w:pPr>
          </w:p>
        </w:tc>
      </w:tr>
      <w:tr w:rsidR="00265A9E" w:rsidRPr="00265A9E">
        <w:trPr>
          <w:trHeight w:val="270"/>
        </w:trPr>
        <w:tc>
          <w:tcPr>
            <w:tcW w:w="2620" w:type="dxa"/>
            <w:vMerge w:val="restart"/>
            <w:tcBorders>
              <w:top w:val="single" w:sz="8" w:space="0" w:color="auto"/>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Gastrointestinal</w:t>
            </w:r>
            <w:proofErr w:type="spellEnd"/>
            <w:r w:rsidRPr="00265A9E">
              <w:rPr>
                <w:b/>
                <w:bCs/>
                <w:sz w:val="18"/>
                <w:szCs w:val="18"/>
              </w:rPr>
              <w:t xml:space="preserve"> </w:t>
            </w:r>
            <w:proofErr w:type="spellStart"/>
            <w:r w:rsidRPr="00265A9E">
              <w:rPr>
                <w:b/>
                <w:bCs/>
                <w:sz w:val="18"/>
                <w:szCs w:val="18"/>
              </w:rPr>
              <w:t>stromal</w:t>
            </w:r>
            <w:proofErr w:type="spellEnd"/>
            <w:r w:rsidRPr="00265A9E">
              <w:rPr>
                <w:b/>
                <w:bCs/>
                <w:sz w:val="18"/>
                <w:szCs w:val="18"/>
              </w:rPr>
              <w:t xml:space="preserve"> tümör</w:t>
            </w:r>
          </w:p>
        </w:tc>
        <w:tc>
          <w:tcPr>
            <w:tcW w:w="135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C26</w:t>
            </w:r>
          </w:p>
        </w:tc>
        <w:tc>
          <w:tcPr>
            <w:tcW w:w="1705" w:type="dxa"/>
            <w:tcBorders>
              <w:top w:val="single" w:sz="8" w:space="0" w:color="auto"/>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single" w:sz="8" w:space="0" w:color="auto"/>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single" w:sz="8" w:space="0" w:color="auto"/>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single" w:sz="8" w:space="0" w:color="auto"/>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single" w:sz="8" w:space="0" w:color="auto"/>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single" w:sz="8" w:space="0" w:color="auto"/>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510"/>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Karaciğer ve safra yolları tümörleri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C22 – C24</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Karaciğer metastazlarında </w:t>
            </w:r>
            <w:proofErr w:type="spellStart"/>
            <w:r w:rsidRPr="00265A9E">
              <w:rPr>
                <w:sz w:val="18"/>
                <w:szCs w:val="18"/>
              </w:rPr>
              <w:t>primer</w:t>
            </w:r>
            <w:proofErr w:type="spellEnd"/>
            <w:r w:rsidRPr="00265A9E">
              <w:rPr>
                <w:sz w:val="18"/>
                <w:szCs w:val="18"/>
              </w:rPr>
              <w:t xml:space="preserve"> odak aramada geçerli</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Pankreas</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C25</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BT veya </w:t>
            </w:r>
            <w:proofErr w:type="spellStart"/>
            <w:r w:rsidRPr="00265A9E">
              <w:rPr>
                <w:sz w:val="18"/>
                <w:szCs w:val="18"/>
              </w:rPr>
              <w:t>MR’da</w:t>
            </w:r>
            <w:proofErr w:type="spellEnd"/>
            <w:r w:rsidRPr="00265A9E">
              <w:rPr>
                <w:sz w:val="18"/>
                <w:szCs w:val="18"/>
              </w:rPr>
              <w:t xml:space="preserve"> pankreasta kitle varsa uygulanır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Over</w:t>
            </w:r>
            <w:proofErr w:type="spellEnd"/>
            <w:r w:rsidRPr="00265A9E">
              <w:rPr>
                <w:b/>
                <w:bCs/>
                <w:sz w:val="18"/>
                <w:szCs w:val="18"/>
              </w:rPr>
              <w:t xml:space="preserve"> kanseri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C56</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CA 125 yükselmiş ise uygulanır</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Serviks</w:t>
            </w:r>
            <w:proofErr w:type="spellEnd"/>
            <w:r w:rsidRPr="00265A9E">
              <w:rPr>
                <w:b/>
                <w:bCs/>
                <w:sz w:val="18"/>
                <w:szCs w:val="18"/>
              </w:rPr>
              <w:t xml:space="preserve"> kanseri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C53</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Endometrium</w:t>
            </w:r>
            <w:proofErr w:type="spellEnd"/>
            <w:r w:rsidRPr="00265A9E">
              <w:rPr>
                <w:b/>
                <w:bCs/>
                <w:sz w:val="18"/>
                <w:szCs w:val="18"/>
              </w:rPr>
              <w:t xml:space="preserve"> kanseri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C54 – C55</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Vulva-</w:t>
            </w:r>
            <w:proofErr w:type="spellStart"/>
            <w:r w:rsidRPr="00265A9E">
              <w:rPr>
                <w:b/>
                <w:bCs/>
                <w:sz w:val="18"/>
                <w:szCs w:val="18"/>
              </w:rPr>
              <w:t>vagen</w:t>
            </w:r>
            <w:proofErr w:type="spellEnd"/>
            <w:r w:rsidRPr="00265A9E">
              <w:rPr>
                <w:b/>
                <w:bCs/>
                <w:sz w:val="18"/>
                <w:szCs w:val="18"/>
              </w:rPr>
              <w:t xml:space="preserve"> kanserleri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C51 – C52</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Böbrek kanserleri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C64 – C65</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 xml:space="preserve">Böbreküstü bezi kanserleri </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C74</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BT veya </w:t>
            </w:r>
            <w:proofErr w:type="spellStart"/>
            <w:r w:rsidRPr="00265A9E">
              <w:rPr>
                <w:sz w:val="18"/>
                <w:szCs w:val="18"/>
              </w:rPr>
              <w:t>MR’da</w:t>
            </w:r>
            <w:proofErr w:type="spellEnd"/>
            <w:r w:rsidRPr="00265A9E">
              <w:rPr>
                <w:sz w:val="18"/>
                <w:szCs w:val="18"/>
              </w:rPr>
              <w:t xml:space="preserve"> 1 cm’den büyük kitle varsa</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rsidTr="00A9124D">
        <w:trPr>
          <w:trHeight w:val="255"/>
        </w:trPr>
        <w:tc>
          <w:tcPr>
            <w:tcW w:w="2620" w:type="dxa"/>
            <w:vMerge w:val="restart"/>
            <w:tcBorders>
              <w:top w:val="nil"/>
              <w:left w:val="single" w:sz="12" w:space="0" w:color="auto"/>
              <w:right w:val="single" w:sz="4" w:space="0" w:color="auto"/>
            </w:tcBorders>
            <w:shd w:val="clear" w:color="auto" w:fill="auto"/>
            <w:vAlign w:val="center"/>
          </w:tcPr>
          <w:p w:rsidR="00265A9E" w:rsidRPr="00265A9E" w:rsidRDefault="00265A9E" w:rsidP="00ED0748">
            <w:pPr>
              <w:rPr>
                <w:b/>
                <w:bCs/>
                <w:sz w:val="18"/>
                <w:szCs w:val="18"/>
              </w:rPr>
            </w:pPr>
            <w:r w:rsidRPr="00265A9E">
              <w:rPr>
                <w:b/>
                <w:bCs/>
                <w:sz w:val="18"/>
                <w:szCs w:val="18"/>
              </w:rPr>
              <w:t>Mesane-</w:t>
            </w:r>
            <w:proofErr w:type="spellStart"/>
            <w:r w:rsidRPr="00265A9E">
              <w:rPr>
                <w:b/>
                <w:bCs/>
                <w:sz w:val="18"/>
                <w:szCs w:val="18"/>
              </w:rPr>
              <w:t>üreter</w:t>
            </w:r>
            <w:proofErr w:type="spellEnd"/>
            <w:r w:rsidRPr="00265A9E">
              <w:rPr>
                <w:b/>
                <w:bCs/>
                <w:sz w:val="18"/>
                <w:szCs w:val="18"/>
              </w:rPr>
              <w:t xml:space="preserve"> kanserleri</w:t>
            </w:r>
          </w:p>
        </w:tc>
        <w:tc>
          <w:tcPr>
            <w:tcW w:w="1355" w:type="dxa"/>
            <w:vMerge w:val="restart"/>
            <w:tcBorders>
              <w:top w:val="nil"/>
              <w:left w:val="single" w:sz="4" w:space="0" w:color="auto"/>
              <w:right w:val="single" w:sz="4" w:space="0" w:color="auto"/>
            </w:tcBorders>
            <w:shd w:val="clear" w:color="auto" w:fill="auto"/>
            <w:vAlign w:val="center"/>
          </w:tcPr>
          <w:p w:rsidR="00265A9E" w:rsidRPr="00265A9E" w:rsidRDefault="00265A9E" w:rsidP="00ED0748">
            <w:pPr>
              <w:rPr>
                <w:b/>
                <w:bCs/>
                <w:sz w:val="18"/>
                <w:szCs w:val="18"/>
              </w:rPr>
            </w:pPr>
            <w:r w:rsidRPr="00265A9E">
              <w:rPr>
                <w:b/>
                <w:bCs/>
                <w:sz w:val="18"/>
                <w:szCs w:val="18"/>
              </w:rPr>
              <w:t>C66 – C67</w:t>
            </w:r>
          </w:p>
        </w:tc>
        <w:tc>
          <w:tcPr>
            <w:tcW w:w="1705" w:type="dxa"/>
            <w:tcBorders>
              <w:top w:val="nil"/>
              <w:left w:val="nil"/>
              <w:bottom w:val="single" w:sz="4" w:space="0" w:color="auto"/>
              <w:right w:val="single" w:sz="4" w:space="0" w:color="auto"/>
            </w:tcBorders>
            <w:shd w:val="clear" w:color="auto" w:fill="auto"/>
            <w:vAlign w:val="center"/>
          </w:tcPr>
          <w:p w:rsidR="00265A9E" w:rsidRPr="00265A9E" w:rsidRDefault="00265A9E"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65A9E" w:rsidRPr="00265A9E" w:rsidRDefault="00265A9E" w:rsidP="00ED0748">
            <w:pPr>
              <w:rPr>
                <w:sz w:val="18"/>
                <w:szCs w:val="18"/>
              </w:rPr>
            </w:pPr>
          </w:p>
        </w:tc>
      </w:tr>
      <w:tr w:rsidR="00265A9E" w:rsidRPr="00265A9E" w:rsidTr="00A9124D">
        <w:trPr>
          <w:trHeight w:val="255"/>
        </w:trPr>
        <w:tc>
          <w:tcPr>
            <w:tcW w:w="2620" w:type="dxa"/>
            <w:vMerge/>
            <w:tcBorders>
              <w:left w:val="single" w:sz="12" w:space="0" w:color="auto"/>
              <w:right w:val="single" w:sz="4" w:space="0" w:color="auto"/>
            </w:tcBorders>
            <w:shd w:val="clear" w:color="auto" w:fill="auto"/>
            <w:vAlign w:val="center"/>
          </w:tcPr>
          <w:p w:rsidR="00265A9E" w:rsidRPr="00265A9E" w:rsidRDefault="00265A9E" w:rsidP="00ED0748">
            <w:pPr>
              <w:rPr>
                <w:b/>
                <w:bCs/>
                <w:sz w:val="18"/>
                <w:szCs w:val="18"/>
              </w:rPr>
            </w:pPr>
          </w:p>
        </w:tc>
        <w:tc>
          <w:tcPr>
            <w:tcW w:w="1355" w:type="dxa"/>
            <w:vMerge/>
            <w:tcBorders>
              <w:left w:val="single" w:sz="4" w:space="0" w:color="auto"/>
              <w:right w:val="single" w:sz="4" w:space="0" w:color="auto"/>
            </w:tcBorders>
            <w:shd w:val="clear" w:color="auto" w:fill="auto"/>
            <w:vAlign w:val="center"/>
          </w:tcPr>
          <w:p w:rsidR="00265A9E" w:rsidRPr="00265A9E" w:rsidRDefault="00265A9E"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65A9E" w:rsidRPr="00265A9E" w:rsidRDefault="00265A9E"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65A9E" w:rsidRPr="00265A9E" w:rsidRDefault="00265A9E" w:rsidP="00ED0748">
            <w:pPr>
              <w:rPr>
                <w:sz w:val="18"/>
                <w:szCs w:val="18"/>
              </w:rPr>
            </w:pPr>
            <w:r w:rsidRPr="00265A9E">
              <w:rPr>
                <w:sz w:val="18"/>
                <w:szCs w:val="18"/>
              </w:rPr>
              <w:t> </w:t>
            </w:r>
          </w:p>
        </w:tc>
      </w:tr>
      <w:tr w:rsidR="00265A9E" w:rsidRPr="00265A9E" w:rsidTr="00A9124D">
        <w:trPr>
          <w:trHeight w:val="270"/>
        </w:trPr>
        <w:tc>
          <w:tcPr>
            <w:tcW w:w="2620" w:type="dxa"/>
            <w:vMerge/>
            <w:tcBorders>
              <w:left w:val="single" w:sz="12" w:space="0" w:color="auto"/>
              <w:bottom w:val="single" w:sz="8" w:space="0" w:color="000000"/>
              <w:right w:val="single" w:sz="4" w:space="0" w:color="auto"/>
            </w:tcBorders>
            <w:vAlign w:val="center"/>
          </w:tcPr>
          <w:p w:rsidR="00265A9E" w:rsidRPr="00265A9E" w:rsidRDefault="00265A9E" w:rsidP="00ED0748">
            <w:pPr>
              <w:rPr>
                <w:b/>
                <w:bCs/>
                <w:sz w:val="18"/>
                <w:szCs w:val="18"/>
              </w:rPr>
            </w:pPr>
          </w:p>
        </w:tc>
        <w:tc>
          <w:tcPr>
            <w:tcW w:w="1355" w:type="dxa"/>
            <w:vMerge/>
            <w:tcBorders>
              <w:left w:val="single" w:sz="4" w:space="0" w:color="auto"/>
              <w:bottom w:val="single" w:sz="8" w:space="0" w:color="000000"/>
              <w:right w:val="single" w:sz="4" w:space="0" w:color="auto"/>
            </w:tcBorders>
            <w:vAlign w:val="center"/>
          </w:tcPr>
          <w:p w:rsidR="00265A9E" w:rsidRPr="00265A9E" w:rsidRDefault="00265A9E"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65A9E" w:rsidRPr="00265A9E" w:rsidRDefault="00265A9E"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65A9E" w:rsidRPr="00265A9E" w:rsidRDefault="00265A9E" w:rsidP="00ED0748">
            <w:pPr>
              <w:rPr>
                <w:sz w:val="18"/>
                <w:szCs w:val="18"/>
              </w:rPr>
            </w:pPr>
            <w:r w:rsidRPr="00265A9E">
              <w:rPr>
                <w:sz w:val="18"/>
                <w:szCs w:val="18"/>
              </w:rPr>
              <w:t> </w:t>
            </w:r>
          </w:p>
          <w:p w:rsidR="00265A9E" w:rsidRPr="00265A9E" w:rsidRDefault="00265A9E" w:rsidP="00ED0748">
            <w:pPr>
              <w:rPr>
                <w:sz w:val="18"/>
                <w:szCs w:val="18"/>
              </w:rPr>
            </w:pP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 xml:space="preserve">Penis ve diğer erkek </w:t>
            </w:r>
            <w:proofErr w:type="spellStart"/>
            <w:r w:rsidRPr="00265A9E">
              <w:rPr>
                <w:b/>
                <w:bCs/>
                <w:sz w:val="18"/>
                <w:szCs w:val="18"/>
              </w:rPr>
              <w:t>genital</w:t>
            </w:r>
            <w:proofErr w:type="spellEnd"/>
            <w:r w:rsidRPr="00265A9E">
              <w:rPr>
                <w:b/>
                <w:bCs/>
                <w:sz w:val="18"/>
                <w:szCs w:val="18"/>
              </w:rPr>
              <w:t xml:space="preserve"> kanserleri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C60</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Testis kanserleri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C62</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Primer</w:t>
            </w:r>
            <w:proofErr w:type="spellEnd"/>
            <w:r w:rsidRPr="00265A9E">
              <w:rPr>
                <w:b/>
                <w:bCs/>
                <w:sz w:val="18"/>
                <w:szCs w:val="18"/>
              </w:rPr>
              <w:t xml:space="preserve"> kemik tümörleri</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C40 – C41</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Multipl</w:t>
            </w:r>
            <w:proofErr w:type="spellEnd"/>
            <w:r w:rsidRPr="00265A9E">
              <w:rPr>
                <w:b/>
                <w:bCs/>
                <w:sz w:val="18"/>
                <w:szCs w:val="18"/>
              </w:rPr>
              <w:t xml:space="preserve"> </w:t>
            </w:r>
            <w:proofErr w:type="spellStart"/>
            <w:r w:rsidRPr="00265A9E">
              <w:rPr>
                <w:b/>
                <w:bCs/>
                <w:sz w:val="18"/>
                <w:szCs w:val="18"/>
              </w:rPr>
              <w:t>myelom</w:t>
            </w:r>
            <w:proofErr w:type="spellEnd"/>
            <w:r w:rsidRPr="00265A9E">
              <w:rPr>
                <w:b/>
                <w:bCs/>
                <w:sz w:val="18"/>
                <w:szCs w:val="18"/>
              </w:rPr>
              <w:t xml:space="preserve"> veya </w:t>
            </w:r>
            <w:proofErr w:type="spellStart"/>
            <w:r w:rsidRPr="00265A9E">
              <w:rPr>
                <w:b/>
                <w:bCs/>
                <w:sz w:val="18"/>
                <w:szCs w:val="18"/>
              </w:rPr>
              <w:t>plasmasitom</w:t>
            </w:r>
            <w:proofErr w:type="spellEnd"/>
            <w:r w:rsidRPr="00265A9E">
              <w:rPr>
                <w:b/>
                <w:bCs/>
                <w:sz w:val="18"/>
                <w:szCs w:val="18"/>
              </w:rPr>
              <w:t xml:space="preserve"> </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 xml:space="preserve"> C90</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510"/>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Yumuşak doku sarkomları</w:t>
            </w:r>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C49</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Biyopsi alınması zor kitlelerde </w:t>
            </w:r>
            <w:proofErr w:type="spellStart"/>
            <w:r w:rsidRPr="00265A9E">
              <w:rPr>
                <w:sz w:val="18"/>
                <w:szCs w:val="18"/>
              </w:rPr>
              <w:t>metabolik</w:t>
            </w:r>
            <w:proofErr w:type="spellEnd"/>
            <w:r w:rsidRPr="00265A9E">
              <w:rPr>
                <w:sz w:val="18"/>
                <w:szCs w:val="18"/>
              </w:rPr>
              <w:t xml:space="preserve"> </w:t>
            </w:r>
            <w:proofErr w:type="spellStart"/>
            <w:r w:rsidRPr="00265A9E">
              <w:rPr>
                <w:sz w:val="18"/>
                <w:szCs w:val="18"/>
              </w:rPr>
              <w:t>karakterizasyon</w:t>
            </w:r>
            <w:proofErr w:type="spellEnd"/>
            <w:r w:rsidRPr="00265A9E">
              <w:rPr>
                <w:sz w:val="18"/>
                <w:szCs w:val="18"/>
              </w:rPr>
              <w:t xml:space="preserve">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val="restart"/>
            <w:tcBorders>
              <w:top w:val="nil"/>
              <w:left w:val="single" w:sz="12"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Nöroblastom</w:t>
            </w:r>
            <w:proofErr w:type="spellEnd"/>
          </w:p>
        </w:tc>
        <w:tc>
          <w:tcPr>
            <w:tcW w:w="1355" w:type="dxa"/>
            <w:vMerge w:val="restart"/>
            <w:tcBorders>
              <w:top w:val="nil"/>
              <w:left w:val="single" w:sz="4" w:space="0" w:color="auto"/>
              <w:bottom w:val="single" w:sz="8" w:space="0" w:color="000000"/>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M9500</w:t>
            </w: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55"/>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4"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 xml:space="preserve">Yeniden </w:t>
            </w:r>
            <w:proofErr w:type="spellStart"/>
            <w:r w:rsidRPr="00265A9E">
              <w:rPr>
                <w:sz w:val="18"/>
                <w:szCs w:val="18"/>
              </w:rPr>
              <w:t>evreleme</w:t>
            </w:r>
            <w:proofErr w:type="spellEnd"/>
          </w:p>
        </w:tc>
        <w:tc>
          <w:tcPr>
            <w:tcW w:w="3155" w:type="dxa"/>
            <w:tcBorders>
              <w:top w:val="nil"/>
              <w:left w:val="nil"/>
              <w:bottom w:val="single" w:sz="4"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270"/>
        </w:trPr>
        <w:tc>
          <w:tcPr>
            <w:tcW w:w="2620" w:type="dxa"/>
            <w:vMerge/>
            <w:tcBorders>
              <w:top w:val="nil"/>
              <w:left w:val="single" w:sz="12"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355" w:type="dxa"/>
            <w:vMerge/>
            <w:tcBorders>
              <w:top w:val="nil"/>
              <w:left w:val="single" w:sz="4" w:space="0" w:color="auto"/>
              <w:bottom w:val="single" w:sz="8" w:space="0" w:color="000000"/>
              <w:right w:val="single" w:sz="4" w:space="0" w:color="auto"/>
            </w:tcBorders>
            <w:vAlign w:val="center"/>
          </w:tcPr>
          <w:p w:rsidR="002D6884" w:rsidRPr="00265A9E" w:rsidRDefault="002D6884" w:rsidP="00ED0748">
            <w:pPr>
              <w:rPr>
                <w:b/>
                <w:bCs/>
                <w:sz w:val="18"/>
                <w:szCs w:val="18"/>
              </w:rPr>
            </w:pP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Tedaviye yanıt</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r w:rsidRPr="00265A9E">
              <w:rPr>
                <w:sz w:val="18"/>
                <w:szCs w:val="18"/>
              </w:rPr>
              <w:t> </w:t>
            </w:r>
          </w:p>
        </w:tc>
      </w:tr>
      <w:tr w:rsidR="00265A9E" w:rsidRPr="00265A9E">
        <w:trPr>
          <w:trHeight w:val="525"/>
        </w:trPr>
        <w:tc>
          <w:tcPr>
            <w:tcW w:w="2620" w:type="dxa"/>
            <w:tcBorders>
              <w:top w:val="nil"/>
              <w:left w:val="single" w:sz="12" w:space="0" w:color="auto"/>
              <w:bottom w:val="single" w:sz="8" w:space="0" w:color="auto"/>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Primeri</w:t>
            </w:r>
            <w:proofErr w:type="spellEnd"/>
            <w:r w:rsidRPr="00265A9E">
              <w:rPr>
                <w:b/>
                <w:bCs/>
                <w:sz w:val="18"/>
                <w:szCs w:val="18"/>
              </w:rPr>
              <w:t xml:space="preserve"> bilinmeyen </w:t>
            </w:r>
            <w:proofErr w:type="spellStart"/>
            <w:r w:rsidRPr="00265A9E">
              <w:rPr>
                <w:b/>
                <w:bCs/>
                <w:sz w:val="18"/>
                <w:szCs w:val="18"/>
              </w:rPr>
              <w:t>metastatik</w:t>
            </w:r>
            <w:proofErr w:type="spellEnd"/>
            <w:r w:rsidRPr="00265A9E">
              <w:rPr>
                <w:b/>
                <w:bCs/>
                <w:sz w:val="18"/>
                <w:szCs w:val="18"/>
              </w:rPr>
              <w:t xml:space="preserve"> tümörler  </w:t>
            </w:r>
          </w:p>
        </w:tc>
        <w:tc>
          <w:tcPr>
            <w:tcW w:w="135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C80</w:t>
            </w:r>
          </w:p>
        </w:tc>
        <w:tc>
          <w:tcPr>
            <w:tcW w:w="1705" w:type="dxa"/>
            <w:tcBorders>
              <w:top w:val="nil"/>
              <w:left w:val="nil"/>
              <w:bottom w:val="single" w:sz="8"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8" w:space="0" w:color="auto"/>
              <w:right w:val="single" w:sz="12"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Primer</w:t>
            </w:r>
            <w:proofErr w:type="spellEnd"/>
            <w:r w:rsidRPr="00265A9E">
              <w:rPr>
                <w:sz w:val="18"/>
                <w:szCs w:val="18"/>
              </w:rPr>
              <w:t xml:space="preserve"> tümör aranması</w:t>
            </w:r>
          </w:p>
        </w:tc>
      </w:tr>
      <w:tr w:rsidR="002D6884" w:rsidRPr="00265A9E">
        <w:trPr>
          <w:trHeight w:val="270"/>
        </w:trPr>
        <w:tc>
          <w:tcPr>
            <w:tcW w:w="2620" w:type="dxa"/>
            <w:tcBorders>
              <w:top w:val="nil"/>
              <w:left w:val="single" w:sz="12" w:space="0" w:color="auto"/>
              <w:bottom w:val="single" w:sz="12" w:space="0" w:color="auto"/>
              <w:right w:val="single" w:sz="4" w:space="0" w:color="auto"/>
            </w:tcBorders>
            <w:shd w:val="clear" w:color="auto" w:fill="auto"/>
            <w:vAlign w:val="center"/>
          </w:tcPr>
          <w:p w:rsidR="002D6884" w:rsidRPr="00265A9E" w:rsidRDefault="002D6884" w:rsidP="00ED0748">
            <w:pPr>
              <w:rPr>
                <w:b/>
                <w:bCs/>
                <w:sz w:val="18"/>
                <w:szCs w:val="18"/>
              </w:rPr>
            </w:pPr>
            <w:proofErr w:type="spellStart"/>
            <w:r w:rsidRPr="00265A9E">
              <w:rPr>
                <w:b/>
                <w:bCs/>
                <w:sz w:val="18"/>
                <w:szCs w:val="18"/>
              </w:rPr>
              <w:t>Paraneoplastik</w:t>
            </w:r>
            <w:proofErr w:type="spellEnd"/>
            <w:r w:rsidRPr="00265A9E">
              <w:rPr>
                <w:b/>
                <w:bCs/>
                <w:sz w:val="18"/>
                <w:szCs w:val="18"/>
              </w:rPr>
              <w:t xml:space="preserve"> sendrom </w:t>
            </w:r>
          </w:p>
        </w:tc>
        <w:tc>
          <w:tcPr>
            <w:tcW w:w="1355" w:type="dxa"/>
            <w:tcBorders>
              <w:top w:val="nil"/>
              <w:left w:val="nil"/>
              <w:bottom w:val="single" w:sz="12" w:space="0" w:color="auto"/>
              <w:right w:val="single" w:sz="4" w:space="0" w:color="auto"/>
            </w:tcBorders>
            <w:shd w:val="clear" w:color="auto" w:fill="auto"/>
            <w:vAlign w:val="center"/>
          </w:tcPr>
          <w:p w:rsidR="002D6884" w:rsidRPr="00265A9E" w:rsidRDefault="002D6884" w:rsidP="00ED0748">
            <w:pPr>
              <w:rPr>
                <w:b/>
                <w:bCs/>
                <w:sz w:val="18"/>
                <w:szCs w:val="18"/>
              </w:rPr>
            </w:pPr>
            <w:r w:rsidRPr="00265A9E">
              <w:rPr>
                <w:b/>
                <w:bCs/>
                <w:sz w:val="18"/>
                <w:szCs w:val="18"/>
              </w:rPr>
              <w:t>D48.9</w:t>
            </w:r>
          </w:p>
        </w:tc>
        <w:tc>
          <w:tcPr>
            <w:tcW w:w="1705" w:type="dxa"/>
            <w:tcBorders>
              <w:top w:val="nil"/>
              <w:left w:val="nil"/>
              <w:bottom w:val="single" w:sz="12" w:space="0" w:color="auto"/>
              <w:right w:val="single" w:sz="4" w:space="0" w:color="auto"/>
            </w:tcBorders>
            <w:shd w:val="clear" w:color="auto" w:fill="auto"/>
            <w:vAlign w:val="center"/>
          </w:tcPr>
          <w:p w:rsidR="002D6884" w:rsidRPr="00265A9E" w:rsidRDefault="002D6884" w:rsidP="00ED0748">
            <w:pPr>
              <w:rPr>
                <w:sz w:val="18"/>
                <w:szCs w:val="18"/>
              </w:rPr>
            </w:pPr>
            <w:r w:rsidRPr="00265A9E">
              <w:rPr>
                <w:sz w:val="18"/>
                <w:szCs w:val="18"/>
              </w:rPr>
              <w:t>Tanı</w:t>
            </w:r>
          </w:p>
        </w:tc>
        <w:tc>
          <w:tcPr>
            <w:tcW w:w="3155" w:type="dxa"/>
            <w:tcBorders>
              <w:top w:val="nil"/>
              <w:left w:val="nil"/>
              <w:bottom w:val="single" w:sz="12" w:space="0" w:color="auto"/>
              <w:right w:val="single" w:sz="12" w:space="0" w:color="auto"/>
            </w:tcBorders>
            <w:shd w:val="clear" w:color="auto" w:fill="auto"/>
            <w:vAlign w:val="center"/>
          </w:tcPr>
          <w:p w:rsidR="002D6884" w:rsidRPr="00265A9E" w:rsidRDefault="002D6884" w:rsidP="00ED0748">
            <w:pPr>
              <w:rPr>
                <w:sz w:val="18"/>
                <w:szCs w:val="18"/>
              </w:rPr>
            </w:pPr>
            <w:proofErr w:type="spellStart"/>
            <w:r w:rsidRPr="00265A9E">
              <w:rPr>
                <w:sz w:val="18"/>
                <w:szCs w:val="18"/>
              </w:rPr>
              <w:t>Malign</w:t>
            </w:r>
            <w:proofErr w:type="spellEnd"/>
            <w:r w:rsidRPr="00265A9E">
              <w:rPr>
                <w:sz w:val="18"/>
                <w:szCs w:val="18"/>
              </w:rPr>
              <w:t xml:space="preserve"> </w:t>
            </w:r>
            <w:proofErr w:type="spellStart"/>
            <w:r w:rsidRPr="00265A9E">
              <w:rPr>
                <w:sz w:val="18"/>
                <w:szCs w:val="18"/>
              </w:rPr>
              <w:t>etyoloji</w:t>
            </w:r>
            <w:proofErr w:type="spellEnd"/>
            <w:r w:rsidRPr="00265A9E">
              <w:rPr>
                <w:sz w:val="18"/>
                <w:szCs w:val="18"/>
              </w:rPr>
              <w:t xml:space="preserve"> aranması</w:t>
            </w:r>
          </w:p>
        </w:tc>
      </w:tr>
    </w:tbl>
    <w:p w:rsidR="00783752" w:rsidRPr="00265A9E" w:rsidRDefault="00783752" w:rsidP="005D661C">
      <w:pPr>
        <w:jc w:val="center"/>
        <w:rPr>
          <w:b/>
          <w:sz w:val="18"/>
          <w:szCs w:val="18"/>
          <w:u w:val="single"/>
        </w:rPr>
      </w:pPr>
    </w:p>
    <w:p w:rsidR="00381EF4" w:rsidRDefault="00381EF4" w:rsidP="002C71A5">
      <w:pPr>
        <w:spacing w:line="288" w:lineRule="atLeast"/>
        <w:rPr>
          <w:b/>
          <w:sz w:val="18"/>
          <w:szCs w:val="18"/>
        </w:rPr>
      </w:pPr>
    </w:p>
    <w:p w:rsidR="00381EF4" w:rsidRDefault="00381EF4" w:rsidP="002C71A5">
      <w:pPr>
        <w:spacing w:line="288" w:lineRule="atLeast"/>
        <w:rPr>
          <w:b/>
          <w:sz w:val="18"/>
          <w:szCs w:val="18"/>
        </w:rPr>
      </w:pPr>
    </w:p>
    <w:p w:rsidR="00381EF4" w:rsidRDefault="00381EF4" w:rsidP="002C71A5">
      <w:pPr>
        <w:spacing w:line="288" w:lineRule="atLeast"/>
        <w:rPr>
          <w:b/>
          <w:sz w:val="18"/>
          <w:szCs w:val="18"/>
        </w:rPr>
      </w:pPr>
    </w:p>
    <w:p w:rsidR="00381EF4" w:rsidRDefault="00381EF4" w:rsidP="002C71A5">
      <w:pPr>
        <w:spacing w:line="288" w:lineRule="atLeast"/>
        <w:rPr>
          <w:b/>
          <w:sz w:val="18"/>
          <w:szCs w:val="18"/>
        </w:rPr>
      </w:pPr>
    </w:p>
    <w:p w:rsidR="00381EF4" w:rsidRDefault="00381EF4" w:rsidP="002C71A5">
      <w:pPr>
        <w:spacing w:line="288" w:lineRule="atLeast"/>
        <w:rPr>
          <w:b/>
          <w:sz w:val="18"/>
          <w:szCs w:val="18"/>
        </w:rPr>
      </w:pPr>
    </w:p>
    <w:p w:rsidR="00381EF4" w:rsidRDefault="00381EF4" w:rsidP="002C71A5">
      <w:pPr>
        <w:spacing w:line="288" w:lineRule="atLeast"/>
        <w:rPr>
          <w:b/>
          <w:sz w:val="18"/>
          <w:szCs w:val="18"/>
        </w:rPr>
      </w:pPr>
    </w:p>
    <w:p w:rsidR="00381EF4" w:rsidRDefault="00381EF4" w:rsidP="002C71A5">
      <w:pPr>
        <w:spacing w:line="288" w:lineRule="atLeast"/>
        <w:rPr>
          <w:b/>
          <w:sz w:val="18"/>
          <w:szCs w:val="18"/>
        </w:rPr>
      </w:pPr>
    </w:p>
    <w:p w:rsidR="00381EF4" w:rsidRDefault="00381EF4" w:rsidP="002C71A5">
      <w:pPr>
        <w:spacing w:line="288" w:lineRule="atLeast"/>
        <w:rPr>
          <w:b/>
          <w:sz w:val="18"/>
          <w:szCs w:val="18"/>
        </w:rPr>
      </w:pPr>
    </w:p>
    <w:p w:rsidR="00381EF4" w:rsidRDefault="00381EF4" w:rsidP="002C71A5">
      <w:pPr>
        <w:spacing w:line="288" w:lineRule="atLeast"/>
        <w:rPr>
          <w:b/>
          <w:sz w:val="18"/>
          <w:szCs w:val="18"/>
        </w:rPr>
      </w:pPr>
    </w:p>
    <w:p w:rsidR="003A6001" w:rsidRPr="00265A9E" w:rsidRDefault="002C71A5" w:rsidP="002C71A5">
      <w:pPr>
        <w:spacing w:line="288" w:lineRule="atLeast"/>
        <w:rPr>
          <w:b/>
          <w:sz w:val="18"/>
          <w:szCs w:val="18"/>
        </w:rPr>
      </w:pPr>
      <w:r w:rsidRPr="00265A9E">
        <w:rPr>
          <w:b/>
          <w:sz w:val="18"/>
          <w:szCs w:val="18"/>
        </w:rPr>
        <w:lastRenderedPageBreak/>
        <w:t xml:space="preserve">TABLO 2. </w:t>
      </w:r>
      <w:r w:rsidR="006E464F" w:rsidRPr="00265A9E">
        <w:rPr>
          <w:b/>
          <w:sz w:val="18"/>
          <w:szCs w:val="18"/>
        </w:rPr>
        <w:t xml:space="preserve">BEYİN </w:t>
      </w:r>
      <w:r w:rsidR="00724C0F" w:rsidRPr="00265A9E">
        <w:rPr>
          <w:b/>
          <w:sz w:val="18"/>
          <w:szCs w:val="18"/>
        </w:rPr>
        <w:t xml:space="preserve">F-18 </w:t>
      </w:r>
      <w:r w:rsidR="006E464F" w:rsidRPr="00265A9E">
        <w:rPr>
          <w:b/>
          <w:sz w:val="18"/>
          <w:szCs w:val="18"/>
        </w:rPr>
        <w:t>FDG-PET ENDİKASYONLARI</w:t>
      </w:r>
    </w:p>
    <w:p w:rsidR="00265A9E" w:rsidRDefault="00783752" w:rsidP="00265A9E">
      <w:pPr>
        <w:spacing w:after="240" w:line="288" w:lineRule="atLeast"/>
        <w:rPr>
          <w:b/>
          <w:sz w:val="18"/>
          <w:szCs w:val="18"/>
        </w:rPr>
      </w:pPr>
      <w:r w:rsidRPr="00265A9E">
        <w:rPr>
          <w:b/>
          <w:sz w:val="18"/>
          <w:szCs w:val="18"/>
        </w:rPr>
        <w:t xml:space="preserve"> </w:t>
      </w:r>
      <w:r w:rsidR="002C71A5" w:rsidRPr="00265A9E">
        <w:rPr>
          <w:sz w:val="18"/>
          <w:szCs w:val="18"/>
        </w:rPr>
        <w:t xml:space="preserve">“800690 beyin </w:t>
      </w:r>
      <w:r w:rsidR="00724C0F" w:rsidRPr="00265A9E">
        <w:rPr>
          <w:sz w:val="18"/>
          <w:szCs w:val="18"/>
        </w:rPr>
        <w:t xml:space="preserve">F-18 </w:t>
      </w:r>
      <w:r w:rsidR="002C71A5" w:rsidRPr="00265A9E">
        <w:rPr>
          <w:sz w:val="18"/>
          <w:szCs w:val="18"/>
        </w:rPr>
        <w:t>FDG-</w:t>
      </w:r>
      <w:r w:rsidR="00265A9E" w:rsidRPr="00265A9E">
        <w:rPr>
          <w:sz w:val="18"/>
          <w:szCs w:val="18"/>
        </w:rPr>
        <w:t>PET kodu</w:t>
      </w:r>
      <w:r w:rsidR="002C71A5" w:rsidRPr="00265A9E">
        <w:rPr>
          <w:sz w:val="18"/>
          <w:szCs w:val="18"/>
        </w:rPr>
        <w:t xml:space="preserve"> için geçerlidir”</w:t>
      </w:r>
      <w:r w:rsidR="004A075D" w:rsidRPr="00265A9E">
        <w:rPr>
          <w:b/>
          <w:sz w:val="18"/>
          <w:szCs w:val="18"/>
        </w:rPr>
        <w:t xml:space="preserve"> </w:t>
      </w:r>
    </w:p>
    <w:tbl>
      <w:tblPr>
        <w:tblW w:w="88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0"/>
        <w:gridCol w:w="1213"/>
        <w:gridCol w:w="1980"/>
        <w:gridCol w:w="3060"/>
      </w:tblGrid>
      <w:tr w:rsidR="00265A9E" w:rsidRPr="00265A9E" w:rsidTr="00381EF4">
        <w:trPr>
          <w:trHeight w:val="255"/>
        </w:trPr>
        <w:tc>
          <w:tcPr>
            <w:tcW w:w="2580" w:type="dxa"/>
            <w:shd w:val="clear" w:color="auto" w:fill="E6E6E6"/>
            <w:vAlign w:val="center"/>
          </w:tcPr>
          <w:p w:rsidR="004A075D" w:rsidRPr="00265A9E" w:rsidRDefault="004A075D" w:rsidP="00980FD0">
            <w:pPr>
              <w:rPr>
                <w:b/>
                <w:bCs/>
                <w:sz w:val="18"/>
                <w:szCs w:val="18"/>
              </w:rPr>
            </w:pPr>
            <w:r w:rsidRPr="00265A9E">
              <w:rPr>
                <w:b/>
                <w:bCs/>
                <w:sz w:val="18"/>
                <w:szCs w:val="18"/>
              </w:rPr>
              <w:t xml:space="preserve">Klinik durum </w:t>
            </w:r>
          </w:p>
        </w:tc>
        <w:tc>
          <w:tcPr>
            <w:tcW w:w="1213" w:type="dxa"/>
            <w:shd w:val="clear" w:color="auto" w:fill="E6E6E6"/>
            <w:vAlign w:val="center"/>
          </w:tcPr>
          <w:p w:rsidR="004A075D" w:rsidRPr="00265A9E" w:rsidRDefault="004A075D" w:rsidP="00980FD0">
            <w:pPr>
              <w:rPr>
                <w:b/>
                <w:bCs/>
                <w:sz w:val="18"/>
                <w:szCs w:val="18"/>
              </w:rPr>
            </w:pPr>
            <w:r w:rsidRPr="00265A9E">
              <w:rPr>
                <w:b/>
                <w:bCs/>
                <w:sz w:val="18"/>
                <w:szCs w:val="18"/>
              </w:rPr>
              <w:t>ICD kodu</w:t>
            </w:r>
          </w:p>
        </w:tc>
        <w:tc>
          <w:tcPr>
            <w:tcW w:w="1980" w:type="dxa"/>
            <w:shd w:val="clear" w:color="auto" w:fill="E6E6E6"/>
            <w:vAlign w:val="center"/>
          </w:tcPr>
          <w:p w:rsidR="004A075D" w:rsidRPr="00265A9E" w:rsidRDefault="004A075D" w:rsidP="00980FD0">
            <w:pPr>
              <w:rPr>
                <w:b/>
                <w:bCs/>
                <w:sz w:val="18"/>
                <w:szCs w:val="18"/>
              </w:rPr>
            </w:pPr>
            <w:r w:rsidRPr="00265A9E">
              <w:rPr>
                <w:b/>
                <w:bCs/>
                <w:sz w:val="18"/>
                <w:szCs w:val="18"/>
              </w:rPr>
              <w:t xml:space="preserve">PET </w:t>
            </w:r>
            <w:proofErr w:type="spellStart"/>
            <w:r w:rsidRPr="00265A9E">
              <w:rPr>
                <w:b/>
                <w:bCs/>
                <w:sz w:val="18"/>
                <w:szCs w:val="18"/>
              </w:rPr>
              <w:t>endikasyonu</w:t>
            </w:r>
            <w:proofErr w:type="spellEnd"/>
          </w:p>
        </w:tc>
        <w:tc>
          <w:tcPr>
            <w:tcW w:w="3060" w:type="dxa"/>
            <w:shd w:val="clear" w:color="auto" w:fill="E6E6E6"/>
            <w:vAlign w:val="center"/>
          </w:tcPr>
          <w:p w:rsidR="004A075D" w:rsidRPr="00265A9E" w:rsidRDefault="004A075D" w:rsidP="00980FD0">
            <w:pPr>
              <w:rPr>
                <w:b/>
                <w:bCs/>
                <w:sz w:val="18"/>
                <w:szCs w:val="18"/>
              </w:rPr>
            </w:pPr>
            <w:r w:rsidRPr="00265A9E">
              <w:rPr>
                <w:b/>
                <w:bCs/>
                <w:sz w:val="18"/>
                <w:szCs w:val="18"/>
              </w:rPr>
              <w:t>Açıklama ve sınırlamalar</w:t>
            </w:r>
          </w:p>
        </w:tc>
      </w:tr>
      <w:tr w:rsidR="00265A9E" w:rsidRPr="00265A9E" w:rsidTr="00381EF4">
        <w:trPr>
          <w:trHeight w:val="510"/>
        </w:trPr>
        <w:tc>
          <w:tcPr>
            <w:tcW w:w="2580" w:type="dxa"/>
            <w:vAlign w:val="center"/>
          </w:tcPr>
          <w:p w:rsidR="004A075D" w:rsidRPr="00265A9E" w:rsidRDefault="004A075D" w:rsidP="00980FD0">
            <w:pPr>
              <w:rPr>
                <w:b/>
                <w:bCs/>
                <w:sz w:val="18"/>
                <w:szCs w:val="18"/>
              </w:rPr>
            </w:pPr>
            <w:r w:rsidRPr="00265A9E">
              <w:rPr>
                <w:b/>
                <w:bCs/>
                <w:sz w:val="18"/>
                <w:szCs w:val="18"/>
              </w:rPr>
              <w:t>Dirençli (</w:t>
            </w:r>
            <w:proofErr w:type="spellStart"/>
            <w:r w:rsidRPr="00265A9E">
              <w:rPr>
                <w:b/>
                <w:bCs/>
                <w:sz w:val="18"/>
                <w:szCs w:val="18"/>
              </w:rPr>
              <w:t>Refrakter</w:t>
            </w:r>
            <w:proofErr w:type="spellEnd"/>
            <w:r w:rsidRPr="00265A9E">
              <w:rPr>
                <w:b/>
                <w:bCs/>
                <w:sz w:val="18"/>
                <w:szCs w:val="18"/>
              </w:rPr>
              <w:t xml:space="preserve">) Epilepsi Nöbetleri </w:t>
            </w:r>
          </w:p>
        </w:tc>
        <w:tc>
          <w:tcPr>
            <w:tcW w:w="1213" w:type="dxa"/>
            <w:vAlign w:val="center"/>
          </w:tcPr>
          <w:p w:rsidR="004A075D" w:rsidRPr="00265A9E" w:rsidRDefault="004A075D" w:rsidP="00980FD0">
            <w:pPr>
              <w:rPr>
                <w:b/>
                <w:bCs/>
                <w:sz w:val="18"/>
                <w:szCs w:val="18"/>
              </w:rPr>
            </w:pPr>
            <w:r w:rsidRPr="00265A9E">
              <w:rPr>
                <w:b/>
                <w:bCs/>
                <w:sz w:val="18"/>
                <w:szCs w:val="18"/>
              </w:rPr>
              <w:t>G40</w:t>
            </w:r>
          </w:p>
        </w:tc>
        <w:tc>
          <w:tcPr>
            <w:tcW w:w="1980" w:type="dxa"/>
            <w:vAlign w:val="center"/>
          </w:tcPr>
          <w:p w:rsidR="004A075D" w:rsidRPr="00265A9E" w:rsidRDefault="004A075D" w:rsidP="00980FD0">
            <w:pPr>
              <w:rPr>
                <w:sz w:val="18"/>
                <w:szCs w:val="18"/>
              </w:rPr>
            </w:pPr>
            <w:r w:rsidRPr="00265A9E">
              <w:rPr>
                <w:sz w:val="18"/>
                <w:szCs w:val="18"/>
              </w:rPr>
              <w:t>Epilepsi odağının belirlenmesi</w:t>
            </w:r>
          </w:p>
        </w:tc>
        <w:tc>
          <w:tcPr>
            <w:tcW w:w="3060" w:type="dxa"/>
            <w:vAlign w:val="center"/>
          </w:tcPr>
          <w:p w:rsidR="004A075D" w:rsidRPr="00265A9E" w:rsidRDefault="004A075D" w:rsidP="00980FD0">
            <w:pPr>
              <w:rPr>
                <w:sz w:val="18"/>
                <w:szCs w:val="18"/>
              </w:rPr>
            </w:pPr>
            <w:r w:rsidRPr="00265A9E">
              <w:rPr>
                <w:sz w:val="18"/>
                <w:szCs w:val="18"/>
              </w:rPr>
              <w:t>Cerrahi yapılması planlanan hastalar</w:t>
            </w:r>
          </w:p>
        </w:tc>
      </w:tr>
      <w:tr w:rsidR="00265A9E" w:rsidRPr="00265A9E" w:rsidTr="00381EF4">
        <w:trPr>
          <w:trHeight w:val="763"/>
        </w:trPr>
        <w:tc>
          <w:tcPr>
            <w:tcW w:w="2580" w:type="dxa"/>
            <w:vAlign w:val="center"/>
          </w:tcPr>
          <w:p w:rsidR="004A075D" w:rsidRPr="00265A9E" w:rsidRDefault="004A075D" w:rsidP="00980FD0">
            <w:pPr>
              <w:rPr>
                <w:sz w:val="18"/>
                <w:szCs w:val="18"/>
              </w:rPr>
            </w:pPr>
            <w:r w:rsidRPr="00265A9E">
              <w:rPr>
                <w:sz w:val="18"/>
                <w:szCs w:val="18"/>
              </w:rPr>
              <w:t>Alzheimer Hastalığı</w:t>
            </w:r>
          </w:p>
        </w:tc>
        <w:tc>
          <w:tcPr>
            <w:tcW w:w="1213" w:type="dxa"/>
            <w:vAlign w:val="center"/>
          </w:tcPr>
          <w:p w:rsidR="004A075D" w:rsidRPr="00265A9E" w:rsidRDefault="004A075D" w:rsidP="00980FD0">
            <w:pPr>
              <w:rPr>
                <w:sz w:val="18"/>
                <w:szCs w:val="18"/>
              </w:rPr>
            </w:pPr>
            <w:r w:rsidRPr="00265A9E">
              <w:rPr>
                <w:sz w:val="18"/>
                <w:szCs w:val="18"/>
              </w:rPr>
              <w:t>G30</w:t>
            </w:r>
          </w:p>
        </w:tc>
        <w:tc>
          <w:tcPr>
            <w:tcW w:w="1980" w:type="dxa"/>
            <w:vMerge w:val="restart"/>
            <w:vAlign w:val="center"/>
          </w:tcPr>
          <w:p w:rsidR="004A075D" w:rsidRPr="00265A9E" w:rsidRDefault="004A075D" w:rsidP="00381EF4">
            <w:pPr>
              <w:rPr>
                <w:sz w:val="18"/>
                <w:szCs w:val="18"/>
              </w:rPr>
            </w:pPr>
            <w:r w:rsidRPr="00265A9E">
              <w:rPr>
                <w:sz w:val="18"/>
                <w:szCs w:val="18"/>
              </w:rPr>
              <w:t>Tanı</w:t>
            </w:r>
          </w:p>
        </w:tc>
        <w:tc>
          <w:tcPr>
            <w:tcW w:w="3060" w:type="dxa"/>
            <w:vMerge w:val="restart"/>
            <w:vAlign w:val="center"/>
          </w:tcPr>
          <w:p w:rsidR="004A075D" w:rsidRPr="00265A9E" w:rsidRDefault="004A075D" w:rsidP="00980FD0">
            <w:pPr>
              <w:rPr>
                <w:sz w:val="18"/>
                <w:szCs w:val="18"/>
              </w:rPr>
            </w:pPr>
            <w:r w:rsidRPr="00265A9E">
              <w:rPr>
                <w:sz w:val="18"/>
                <w:szCs w:val="18"/>
              </w:rPr>
              <w:t>Tüm yaş grupları için 3. basamak sağlık hizmet sunucusundan sağlık kurulu raporu alınması şartı aranır</w:t>
            </w:r>
          </w:p>
        </w:tc>
      </w:tr>
      <w:tr w:rsidR="00265A9E" w:rsidRPr="00265A9E" w:rsidTr="00381EF4">
        <w:trPr>
          <w:trHeight w:val="523"/>
        </w:trPr>
        <w:tc>
          <w:tcPr>
            <w:tcW w:w="2580" w:type="dxa"/>
            <w:vAlign w:val="center"/>
          </w:tcPr>
          <w:p w:rsidR="004A075D" w:rsidRPr="00265A9E" w:rsidRDefault="004A075D" w:rsidP="00980FD0">
            <w:pPr>
              <w:rPr>
                <w:sz w:val="18"/>
                <w:szCs w:val="18"/>
              </w:rPr>
            </w:pPr>
            <w:r w:rsidRPr="00265A9E">
              <w:rPr>
                <w:sz w:val="18"/>
                <w:szCs w:val="18"/>
              </w:rPr>
              <w:t>Bunama</w:t>
            </w:r>
          </w:p>
        </w:tc>
        <w:tc>
          <w:tcPr>
            <w:tcW w:w="1213" w:type="dxa"/>
            <w:vAlign w:val="center"/>
          </w:tcPr>
          <w:p w:rsidR="004A075D" w:rsidRPr="00265A9E" w:rsidRDefault="004A075D" w:rsidP="00980FD0">
            <w:pPr>
              <w:rPr>
                <w:sz w:val="18"/>
                <w:szCs w:val="18"/>
              </w:rPr>
            </w:pPr>
            <w:r w:rsidRPr="00265A9E">
              <w:rPr>
                <w:sz w:val="18"/>
                <w:szCs w:val="18"/>
              </w:rPr>
              <w:t>F02</w:t>
            </w:r>
          </w:p>
        </w:tc>
        <w:tc>
          <w:tcPr>
            <w:tcW w:w="1980" w:type="dxa"/>
            <w:vMerge/>
            <w:vAlign w:val="center"/>
          </w:tcPr>
          <w:p w:rsidR="004A075D" w:rsidRPr="00265A9E" w:rsidRDefault="004A075D" w:rsidP="00980FD0">
            <w:pPr>
              <w:rPr>
                <w:sz w:val="18"/>
                <w:szCs w:val="18"/>
              </w:rPr>
            </w:pPr>
          </w:p>
        </w:tc>
        <w:tc>
          <w:tcPr>
            <w:tcW w:w="3060" w:type="dxa"/>
            <w:vMerge/>
            <w:vAlign w:val="center"/>
          </w:tcPr>
          <w:p w:rsidR="004A075D" w:rsidRPr="00265A9E" w:rsidRDefault="004A075D" w:rsidP="00980FD0">
            <w:pPr>
              <w:rPr>
                <w:sz w:val="18"/>
                <w:szCs w:val="18"/>
              </w:rPr>
            </w:pPr>
          </w:p>
        </w:tc>
      </w:tr>
      <w:tr w:rsidR="00265A9E" w:rsidRPr="00265A9E" w:rsidTr="00381EF4">
        <w:trPr>
          <w:trHeight w:val="334"/>
        </w:trPr>
        <w:tc>
          <w:tcPr>
            <w:tcW w:w="2580" w:type="dxa"/>
            <w:vAlign w:val="center"/>
          </w:tcPr>
          <w:p w:rsidR="004A075D" w:rsidRPr="00265A9E" w:rsidRDefault="004A075D" w:rsidP="00980FD0">
            <w:pPr>
              <w:rPr>
                <w:sz w:val="18"/>
                <w:szCs w:val="18"/>
              </w:rPr>
            </w:pPr>
            <w:r w:rsidRPr="00265A9E">
              <w:rPr>
                <w:sz w:val="18"/>
                <w:szCs w:val="18"/>
              </w:rPr>
              <w:t>Parkinson hastalığı</w:t>
            </w:r>
          </w:p>
        </w:tc>
        <w:tc>
          <w:tcPr>
            <w:tcW w:w="1213" w:type="dxa"/>
            <w:vAlign w:val="center"/>
          </w:tcPr>
          <w:p w:rsidR="004A075D" w:rsidRPr="00265A9E" w:rsidRDefault="004A075D" w:rsidP="00980FD0">
            <w:pPr>
              <w:rPr>
                <w:sz w:val="18"/>
                <w:szCs w:val="18"/>
              </w:rPr>
            </w:pPr>
            <w:r w:rsidRPr="00265A9E">
              <w:rPr>
                <w:sz w:val="18"/>
                <w:szCs w:val="18"/>
              </w:rPr>
              <w:t>G20</w:t>
            </w:r>
          </w:p>
        </w:tc>
        <w:tc>
          <w:tcPr>
            <w:tcW w:w="1980" w:type="dxa"/>
            <w:vMerge/>
            <w:vAlign w:val="center"/>
          </w:tcPr>
          <w:p w:rsidR="004A075D" w:rsidRPr="00265A9E" w:rsidRDefault="004A075D" w:rsidP="00980FD0">
            <w:pPr>
              <w:rPr>
                <w:sz w:val="18"/>
                <w:szCs w:val="18"/>
              </w:rPr>
            </w:pPr>
          </w:p>
        </w:tc>
        <w:tc>
          <w:tcPr>
            <w:tcW w:w="3060" w:type="dxa"/>
            <w:vMerge/>
            <w:vAlign w:val="center"/>
          </w:tcPr>
          <w:p w:rsidR="004A075D" w:rsidRPr="00265A9E" w:rsidRDefault="004A075D" w:rsidP="00980FD0">
            <w:pPr>
              <w:rPr>
                <w:sz w:val="18"/>
                <w:szCs w:val="18"/>
              </w:rPr>
            </w:pPr>
          </w:p>
        </w:tc>
      </w:tr>
      <w:tr w:rsidR="00265A9E" w:rsidRPr="00265A9E" w:rsidTr="00381EF4">
        <w:trPr>
          <w:trHeight w:val="334"/>
        </w:trPr>
        <w:tc>
          <w:tcPr>
            <w:tcW w:w="2580" w:type="dxa"/>
            <w:vAlign w:val="center"/>
          </w:tcPr>
          <w:p w:rsidR="004A075D" w:rsidRPr="00265A9E" w:rsidRDefault="004A075D" w:rsidP="00980FD0">
            <w:pPr>
              <w:rPr>
                <w:sz w:val="18"/>
                <w:szCs w:val="18"/>
              </w:rPr>
            </w:pPr>
            <w:proofErr w:type="spellStart"/>
            <w:r w:rsidRPr="00265A9E">
              <w:rPr>
                <w:sz w:val="18"/>
                <w:szCs w:val="18"/>
              </w:rPr>
              <w:t>Sekonder</w:t>
            </w:r>
            <w:proofErr w:type="spellEnd"/>
            <w:r w:rsidRPr="00265A9E">
              <w:rPr>
                <w:sz w:val="18"/>
                <w:szCs w:val="18"/>
              </w:rPr>
              <w:t xml:space="preserve"> </w:t>
            </w:r>
            <w:proofErr w:type="spellStart"/>
            <w:r w:rsidRPr="00265A9E">
              <w:rPr>
                <w:sz w:val="18"/>
                <w:szCs w:val="18"/>
              </w:rPr>
              <w:t>parkinsonizm</w:t>
            </w:r>
            <w:proofErr w:type="spellEnd"/>
          </w:p>
        </w:tc>
        <w:tc>
          <w:tcPr>
            <w:tcW w:w="1213" w:type="dxa"/>
          </w:tcPr>
          <w:p w:rsidR="004A075D" w:rsidRPr="00265A9E" w:rsidRDefault="004A075D" w:rsidP="00980FD0">
            <w:pPr>
              <w:rPr>
                <w:sz w:val="18"/>
                <w:szCs w:val="18"/>
              </w:rPr>
            </w:pPr>
            <w:r w:rsidRPr="00265A9E">
              <w:rPr>
                <w:sz w:val="18"/>
                <w:szCs w:val="18"/>
              </w:rPr>
              <w:t>G21</w:t>
            </w:r>
          </w:p>
        </w:tc>
        <w:tc>
          <w:tcPr>
            <w:tcW w:w="1980" w:type="dxa"/>
            <w:vMerge/>
            <w:vAlign w:val="center"/>
          </w:tcPr>
          <w:p w:rsidR="004A075D" w:rsidRPr="00265A9E" w:rsidRDefault="004A075D" w:rsidP="00980FD0">
            <w:pPr>
              <w:rPr>
                <w:sz w:val="18"/>
                <w:szCs w:val="18"/>
              </w:rPr>
            </w:pPr>
          </w:p>
        </w:tc>
        <w:tc>
          <w:tcPr>
            <w:tcW w:w="3060" w:type="dxa"/>
            <w:vMerge/>
            <w:vAlign w:val="center"/>
          </w:tcPr>
          <w:p w:rsidR="004A075D" w:rsidRPr="00265A9E" w:rsidRDefault="004A075D" w:rsidP="00980FD0">
            <w:pPr>
              <w:rPr>
                <w:sz w:val="18"/>
                <w:szCs w:val="18"/>
              </w:rPr>
            </w:pPr>
          </w:p>
        </w:tc>
      </w:tr>
      <w:tr w:rsidR="00265A9E" w:rsidRPr="00265A9E" w:rsidTr="00381EF4">
        <w:trPr>
          <w:trHeight w:val="334"/>
        </w:trPr>
        <w:tc>
          <w:tcPr>
            <w:tcW w:w="2580" w:type="dxa"/>
            <w:vAlign w:val="center"/>
          </w:tcPr>
          <w:p w:rsidR="004A075D" w:rsidRPr="00265A9E" w:rsidRDefault="004A075D" w:rsidP="00980FD0">
            <w:pPr>
              <w:rPr>
                <w:sz w:val="18"/>
                <w:szCs w:val="18"/>
              </w:rPr>
            </w:pPr>
            <w:proofErr w:type="spellStart"/>
            <w:r w:rsidRPr="00265A9E">
              <w:rPr>
                <w:sz w:val="18"/>
                <w:szCs w:val="18"/>
              </w:rPr>
              <w:t>Parkinsonizm</w:t>
            </w:r>
            <w:proofErr w:type="spellEnd"/>
            <w:r w:rsidRPr="00265A9E">
              <w:rPr>
                <w:sz w:val="18"/>
                <w:szCs w:val="18"/>
              </w:rPr>
              <w:t>, başka yerde sınıflanmış hastalıklarda</w:t>
            </w:r>
          </w:p>
        </w:tc>
        <w:tc>
          <w:tcPr>
            <w:tcW w:w="1213" w:type="dxa"/>
          </w:tcPr>
          <w:p w:rsidR="004A075D" w:rsidRPr="00265A9E" w:rsidRDefault="004A075D" w:rsidP="00980FD0">
            <w:pPr>
              <w:rPr>
                <w:sz w:val="18"/>
                <w:szCs w:val="18"/>
              </w:rPr>
            </w:pPr>
            <w:r w:rsidRPr="00265A9E">
              <w:rPr>
                <w:sz w:val="18"/>
                <w:szCs w:val="18"/>
              </w:rPr>
              <w:t>G22</w:t>
            </w:r>
          </w:p>
        </w:tc>
        <w:tc>
          <w:tcPr>
            <w:tcW w:w="1980" w:type="dxa"/>
            <w:vMerge/>
            <w:vAlign w:val="center"/>
          </w:tcPr>
          <w:p w:rsidR="004A075D" w:rsidRPr="00265A9E" w:rsidRDefault="004A075D" w:rsidP="00980FD0">
            <w:pPr>
              <w:rPr>
                <w:sz w:val="18"/>
                <w:szCs w:val="18"/>
              </w:rPr>
            </w:pPr>
          </w:p>
        </w:tc>
        <w:tc>
          <w:tcPr>
            <w:tcW w:w="3060" w:type="dxa"/>
            <w:vMerge/>
            <w:vAlign w:val="center"/>
          </w:tcPr>
          <w:p w:rsidR="004A075D" w:rsidRPr="00265A9E" w:rsidRDefault="004A075D" w:rsidP="00980FD0">
            <w:pPr>
              <w:rPr>
                <w:sz w:val="18"/>
                <w:szCs w:val="18"/>
              </w:rPr>
            </w:pPr>
          </w:p>
        </w:tc>
      </w:tr>
      <w:tr w:rsidR="00265A9E" w:rsidRPr="00265A9E" w:rsidTr="00381EF4">
        <w:trPr>
          <w:trHeight w:val="334"/>
        </w:trPr>
        <w:tc>
          <w:tcPr>
            <w:tcW w:w="2580" w:type="dxa"/>
            <w:vAlign w:val="center"/>
          </w:tcPr>
          <w:p w:rsidR="004A075D" w:rsidRPr="00265A9E" w:rsidRDefault="004A075D" w:rsidP="00980FD0">
            <w:pPr>
              <w:rPr>
                <w:sz w:val="18"/>
                <w:szCs w:val="18"/>
              </w:rPr>
            </w:pPr>
            <w:r w:rsidRPr="00265A9E">
              <w:rPr>
                <w:sz w:val="18"/>
                <w:szCs w:val="18"/>
              </w:rPr>
              <w:t xml:space="preserve">Bazal </w:t>
            </w:r>
            <w:proofErr w:type="spellStart"/>
            <w:r w:rsidRPr="00265A9E">
              <w:rPr>
                <w:sz w:val="18"/>
                <w:szCs w:val="18"/>
              </w:rPr>
              <w:t>ganglionların</w:t>
            </w:r>
            <w:proofErr w:type="spellEnd"/>
            <w:r w:rsidRPr="00265A9E">
              <w:rPr>
                <w:sz w:val="18"/>
                <w:szCs w:val="18"/>
              </w:rPr>
              <w:t xml:space="preserve"> diğer </w:t>
            </w:r>
            <w:proofErr w:type="spellStart"/>
            <w:r w:rsidRPr="00265A9E">
              <w:rPr>
                <w:sz w:val="18"/>
                <w:szCs w:val="18"/>
              </w:rPr>
              <w:t>dejeneratif</w:t>
            </w:r>
            <w:proofErr w:type="spellEnd"/>
            <w:r w:rsidRPr="00265A9E">
              <w:rPr>
                <w:sz w:val="18"/>
                <w:szCs w:val="18"/>
              </w:rPr>
              <w:t xml:space="preserve"> hastalıkları</w:t>
            </w:r>
          </w:p>
        </w:tc>
        <w:tc>
          <w:tcPr>
            <w:tcW w:w="1213" w:type="dxa"/>
          </w:tcPr>
          <w:p w:rsidR="004A075D" w:rsidRPr="00265A9E" w:rsidRDefault="004A075D" w:rsidP="00980FD0">
            <w:pPr>
              <w:rPr>
                <w:sz w:val="18"/>
                <w:szCs w:val="18"/>
              </w:rPr>
            </w:pPr>
            <w:r w:rsidRPr="00265A9E">
              <w:rPr>
                <w:sz w:val="18"/>
                <w:szCs w:val="18"/>
              </w:rPr>
              <w:t>G23</w:t>
            </w:r>
          </w:p>
        </w:tc>
        <w:tc>
          <w:tcPr>
            <w:tcW w:w="1980" w:type="dxa"/>
            <w:vMerge/>
            <w:vAlign w:val="center"/>
          </w:tcPr>
          <w:p w:rsidR="004A075D" w:rsidRPr="00265A9E" w:rsidRDefault="004A075D" w:rsidP="00980FD0">
            <w:pPr>
              <w:rPr>
                <w:sz w:val="18"/>
                <w:szCs w:val="18"/>
              </w:rPr>
            </w:pPr>
          </w:p>
        </w:tc>
        <w:tc>
          <w:tcPr>
            <w:tcW w:w="3060" w:type="dxa"/>
            <w:vMerge/>
            <w:vAlign w:val="center"/>
          </w:tcPr>
          <w:p w:rsidR="004A075D" w:rsidRPr="00265A9E" w:rsidRDefault="004A075D" w:rsidP="00980FD0">
            <w:pPr>
              <w:rPr>
                <w:sz w:val="18"/>
                <w:szCs w:val="18"/>
              </w:rPr>
            </w:pPr>
          </w:p>
        </w:tc>
      </w:tr>
      <w:tr w:rsidR="004A075D" w:rsidRPr="00265A9E" w:rsidTr="00381EF4">
        <w:trPr>
          <w:trHeight w:val="334"/>
        </w:trPr>
        <w:tc>
          <w:tcPr>
            <w:tcW w:w="2580" w:type="dxa"/>
            <w:vAlign w:val="center"/>
          </w:tcPr>
          <w:p w:rsidR="004A075D" w:rsidRPr="00265A9E" w:rsidRDefault="004A075D" w:rsidP="00980FD0">
            <w:pPr>
              <w:rPr>
                <w:sz w:val="18"/>
                <w:szCs w:val="18"/>
              </w:rPr>
            </w:pPr>
            <w:proofErr w:type="spellStart"/>
            <w:r w:rsidRPr="00265A9E">
              <w:rPr>
                <w:sz w:val="18"/>
                <w:szCs w:val="18"/>
              </w:rPr>
              <w:t>Ekstrapiramidal</w:t>
            </w:r>
            <w:proofErr w:type="spellEnd"/>
            <w:r w:rsidRPr="00265A9E">
              <w:rPr>
                <w:sz w:val="18"/>
                <w:szCs w:val="18"/>
              </w:rPr>
              <w:t xml:space="preserve"> bozukluklar ve hareket bozuklukları, başka yerde sınıflanmış hastalıklarda</w:t>
            </w:r>
          </w:p>
        </w:tc>
        <w:tc>
          <w:tcPr>
            <w:tcW w:w="1213" w:type="dxa"/>
          </w:tcPr>
          <w:p w:rsidR="004A075D" w:rsidRPr="00265A9E" w:rsidRDefault="004A075D" w:rsidP="00980FD0">
            <w:pPr>
              <w:rPr>
                <w:sz w:val="18"/>
                <w:szCs w:val="18"/>
              </w:rPr>
            </w:pPr>
            <w:r w:rsidRPr="00265A9E">
              <w:rPr>
                <w:sz w:val="18"/>
                <w:szCs w:val="18"/>
              </w:rPr>
              <w:t>G26</w:t>
            </w:r>
          </w:p>
        </w:tc>
        <w:tc>
          <w:tcPr>
            <w:tcW w:w="1980" w:type="dxa"/>
            <w:vMerge/>
            <w:vAlign w:val="center"/>
          </w:tcPr>
          <w:p w:rsidR="004A075D" w:rsidRPr="00265A9E" w:rsidRDefault="004A075D" w:rsidP="00980FD0">
            <w:pPr>
              <w:rPr>
                <w:sz w:val="18"/>
                <w:szCs w:val="18"/>
              </w:rPr>
            </w:pPr>
          </w:p>
        </w:tc>
        <w:tc>
          <w:tcPr>
            <w:tcW w:w="3060" w:type="dxa"/>
            <w:vMerge/>
            <w:vAlign w:val="center"/>
          </w:tcPr>
          <w:p w:rsidR="004A075D" w:rsidRPr="00265A9E" w:rsidRDefault="004A075D" w:rsidP="00980FD0">
            <w:pPr>
              <w:rPr>
                <w:sz w:val="18"/>
                <w:szCs w:val="18"/>
              </w:rPr>
            </w:pPr>
          </w:p>
        </w:tc>
      </w:tr>
    </w:tbl>
    <w:p w:rsidR="004A075D" w:rsidRPr="00265A9E" w:rsidRDefault="004A075D" w:rsidP="004A075D">
      <w:pPr>
        <w:rPr>
          <w:sz w:val="18"/>
          <w:szCs w:val="18"/>
        </w:rPr>
      </w:pPr>
    </w:p>
    <w:p w:rsidR="003A6001" w:rsidRPr="00265A9E" w:rsidRDefault="002C71A5" w:rsidP="00783752">
      <w:pPr>
        <w:rPr>
          <w:b/>
          <w:sz w:val="18"/>
          <w:szCs w:val="18"/>
        </w:rPr>
      </w:pPr>
      <w:r w:rsidRPr="00265A9E">
        <w:rPr>
          <w:b/>
          <w:sz w:val="18"/>
          <w:szCs w:val="18"/>
        </w:rPr>
        <w:t>TABLO 3.</w:t>
      </w:r>
      <w:r w:rsidR="00783752" w:rsidRPr="00265A9E">
        <w:rPr>
          <w:b/>
          <w:sz w:val="18"/>
          <w:szCs w:val="18"/>
        </w:rPr>
        <w:t xml:space="preserve"> M</w:t>
      </w:r>
      <w:r w:rsidR="00E913A6" w:rsidRPr="00265A9E">
        <w:rPr>
          <w:b/>
          <w:sz w:val="18"/>
          <w:szCs w:val="18"/>
        </w:rPr>
        <w:t>İ</w:t>
      </w:r>
      <w:r w:rsidR="006E464F" w:rsidRPr="00265A9E">
        <w:rPr>
          <w:b/>
          <w:sz w:val="18"/>
          <w:szCs w:val="18"/>
        </w:rPr>
        <w:t>YOKARD</w:t>
      </w:r>
      <w:r w:rsidR="00783752" w:rsidRPr="00265A9E">
        <w:rPr>
          <w:b/>
          <w:sz w:val="18"/>
          <w:szCs w:val="18"/>
        </w:rPr>
        <w:t xml:space="preserve"> </w:t>
      </w:r>
      <w:r w:rsidR="00CD1136" w:rsidRPr="00265A9E">
        <w:rPr>
          <w:b/>
          <w:sz w:val="18"/>
          <w:szCs w:val="18"/>
        </w:rPr>
        <w:t>FDG-</w:t>
      </w:r>
      <w:r w:rsidR="00783752" w:rsidRPr="00265A9E">
        <w:rPr>
          <w:b/>
          <w:sz w:val="18"/>
          <w:szCs w:val="18"/>
        </w:rPr>
        <w:t>PET</w:t>
      </w:r>
      <w:r w:rsidR="006E464F" w:rsidRPr="00265A9E">
        <w:rPr>
          <w:b/>
          <w:sz w:val="18"/>
          <w:szCs w:val="18"/>
        </w:rPr>
        <w:t xml:space="preserve"> ENDİKASYONLARI</w:t>
      </w:r>
    </w:p>
    <w:p w:rsidR="00783752" w:rsidRPr="00265A9E" w:rsidRDefault="006E464F" w:rsidP="00783752">
      <w:pPr>
        <w:rPr>
          <w:sz w:val="18"/>
          <w:szCs w:val="18"/>
        </w:rPr>
      </w:pPr>
      <w:r w:rsidRPr="00265A9E">
        <w:rPr>
          <w:b/>
          <w:sz w:val="18"/>
          <w:szCs w:val="18"/>
        </w:rPr>
        <w:t xml:space="preserve"> </w:t>
      </w:r>
      <w:r w:rsidR="002C71A5" w:rsidRPr="00265A9E">
        <w:rPr>
          <w:sz w:val="18"/>
          <w:szCs w:val="18"/>
        </w:rPr>
        <w:t xml:space="preserve">“800840 </w:t>
      </w:r>
      <w:proofErr w:type="spellStart"/>
      <w:r w:rsidR="002C71A5" w:rsidRPr="00265A9E">
        <w:rPr>
          <w:sz w:val="18"/>
          <w:szCs w:val="18"/>
        </w:rPr>
        <w:t>miyokard</w:t>
      </w:r>
      <w:proofErr w:type="spellEnd"/>
      <w:r w:rsidR="002C71A5" w:rsidRPr="00265A9E">
        <w:rPr>
          <w:sz w:val="18"/>
          <w:szCs w:val="18"/>
        </w:rPr>
        <w:t xml:space="preserve"> PET (F-18 FDG ile) kod</w:t>
      </w:r>
      <w:r w:rsidR="0069527F" w:rsidRPr="00265A9E">
        <w:rPr>
          <w:sz w:val="18"/>
          <w:szCs w:val="18"/>
        </w:rPr>
        <w:t>u</w:t>
      </w:r>
      <w:r w:rsidR="002C71A5" w:rsidRPr="00265A9E">
        <w:rPr>
          <w:sz w:val="18"/>
          <w:szCs w:val="18"/>
        </w:rPr>
        <w:t xml:space="preserve"> için geçerlidir”</w:t>
      </w:r>
    </w:p>
    <w:p w:rsidR="00DF2B64" w:rsidRPr="00265A9E" w:rsidRDefault="00DF2B64" w:rsidP="00783752">
      <w:pPr>
        <w:rPr>
          <w:sz w:val="18"/>
          <w:szCs w:val="18"/>
        </w:rPr>
      </w:pPr>
    </w:p>
    <w:tbl>
      <w:tblPr>
        <w:tblW w:w="8833" w:type="dxa"/>
        <w:tblInd w:w="57" w:type="dxa"/>
        <w:tblLayout w:type="fixed"/>
        <w:tblCellMar>
          <w:top w:w="45" w:type="dxa"/>
          <w:left w:w="70" w:type="dxa"/>
          <w:bottom w:w="45" w:type="dxa"/>
          <w:right w:w="70" w:type="dxa"/>
        </w:tblCellMar>
        <w:tblLook w:val="0000" w:firstRow="0" w:lastRow="0" w:firstColumn="0" w:lastColumn="0" w:noHBand="0" w:noVBand="0"/>
      </w:tblPr>
      <w:tblGrid>
        <w:gridCol w:w="2533"/>
        <w:gridCol w:w="1260"/>
        <w:gridCol w:w="2032"/>
        <w:gridCol w:w="3008"/>
      </w:tblGrid>
      <w:tr w:rsidR="00265A9E" w:rsidRPr="00265A9E">
        <w:trPr>
          <w:trHeight w:val="272"/>
        </w:trPr>
        <w:tc>
          <w:tcPr>
            <w:tcW w:w="2533" w:type="dxa"/>
            <w:tcBorders>
              <w:top w:val="single" w:sz="8" w:space="0" w:color="auto"/>
              <w:left w:val="single" w:sz="8" w:space="0" w:color="auto"/>
              <w:bottom w:val="single" w:sz="4" w:space="0" w:color="000000"/>
              <w:right w:val="single" w:sz="4" w:space="0" w:color="000000"/>
            </w:tcBorders>
            <w:shd w:val="clear" w:color="auto" w:fill="E6E6E6"/>
            <w:vAlign w:val="center"/>
          </w:tcPr>
          <w:p w:rsidR="002867AB" w:rsidRPr="00265A9E" w:rsidRDefault="002867AB" w:rsidP="00ED0748">
            <w:pPr>
              <w:rPr>
                <w:b/>
                <w:bCs/>
                <w:sz w:val="18"/>
                <w:szCs w:val="18"/>
              </w:rPr>
            </w:pPr>
            <w:r w:rsidRPr="00265A9E">
              <w:rPr>
                <w:b/>
                <w:bCs/>
                <w:sz w:val="18"/>
                <w:szCs w:val="18"/>
              </w:rPr>
              <w:t>Klinik durum</w:t>
            </w:r>
          </w:p>
        </w:tc>
        <w:tc>
          <w:tcPr>
            <w:tcW w:w="1260" w:type="dxa"/>
            <w:tcBorders>
              <w:top w:val="single" w:sz="8" w:space="0" w:color="auto"/>
              <w:left w:val="nil"/>
              <w:bottom w:val="single" w:sz="4" w:space="0" w:color="000000"/>
              <w:right w:val="single" w:sz="4" w:space="0" w:color="000000"/>
            </w:tcBorders>
            <w:shd w:val="clear" w:color="auto" w:fill="E6E6E6"/>
            <w:vAlign w:val="center"/>
          </w:tcPr>
          <w:p w:rsidR="002867AB" w:rsidRPr="00265A9E" w:rsidRDefault="002867AB" w:rsidP="00ED0748">
            <w:pPr>
              <w:rPr>
                <w:b/>
                <w:bCs/>
                <w:sz w:val="18"/>
                <w:szCs w:val="18"/>
              </w:rPr>
            </w:pPr>
            <w:r w:rsidRPr="00265A9E">
              <w:rPr>
                <w:b/>
                <w:bCs/>
                <w:sz w:val="18"/>
                <w:szCs w:val="18"/>
              </w:rPr>
              <w:t>ICD 10 Kodu</w:t>
            </w:r>
          </w:p>
        </w:tc>
        <w:tc>
          <w:tcPr>
            <w:tcW w:w="2032" w:type="dxa"/>
            <w:tcBorders>
              <w:top w:val="single" w:sz="8" w:space="0" w:color="auto"/>
              <w:left w:val="nil"/>
              <w:bottom w:val="single" w:sz="4" w:space="0" w:color="000000"/>
              <w:right w:val="single" w:sz="4" w:space="0" w:color="000000"/>
            </w:tcBorders>
            <w:shd w:val="clear" w:color="auto" w:fill="E6E6E6"/>
            <w:vAlign w:val="center"/>
          </w:tcPr>
          <w:p w:rsidR="002867AB" w:rsidRPr="00265A9E" w:rsidRDefault="002867AB" w:rsidP="00ED0748">
            <w:pPr>
              <w:rPr>
                <w:b/>
                <w:bCs/>
                <w:sz w:val="18"/>
                <w:szCs w:val="18"/>
              </w:rPr>
            </w:pPr>
            <w:r w:rsidRPr="00265A9E">
              <w:rPr>
                <w:b/>
                <w:bCs/>
                <w:sz w:val="18"/>
                <w:szCs w:val="18"/>
              </w:rPr>
              <w:t xml:space="preserve">PET </w:t>
            </w:r>
            <w:proofErr w:type="spellStart"/>
            <w:r w:rsidRPr="00265A9E">
              <w:rPr>
                <w:b/>
                <w:bCs/>
                <w:sz w:val="18"/>
                <w:szCs w:val="18"/>
              </w:rPr>
              <w:t>endikasyonu</w:t>
            </w:r>
            <w:proofErr w:type="spellEnd"/>
          </w:p>
        </w:tc>
        <w:tc>
          <w:tcPr>
            <w:tcW w:w="3008" w:type="dxa"/>
            <w:tcBorders>
              <w:top w:val="single" w:sz="8" w:space="0" w:color="auto"/>
              <w:left w:val="nil"/>
              <w:bottom w:val="single" w:sz="4" w:space="0" w:color="000000"/>
              <w:right w:val="single" w:sz="8" w:space="0" w:color="auto"/>
            </w:tcBorders>
            <w:shd w:val="clear" w:color="auto" w:fill="E6E6E6"/>
            <w:vAlign w:val="center"/>
          </w:tcPr>
          <w:p w:rsidR="002867AB" w:rsidRPr="00265A9E" w:rsidRDefault="002867AB" w:rsidP="00ED0748">
            <w:pPr>
              <w:rPr>
                <w:b/>
                <w:bCs/>
                <w:sz w:val="18"/>
                <w:szCs w:val="18"/>
              </w:rPr>
            </w:pPr>
            <w:r w:rsidRPr="00265A9E">
              <w:rPr>
                <w:b/>
                <w:bCs/>
                <w:sz w:val="18"/>
                <w:szCs w:val="18"/>
              </w:rPr>
              <w:t>Açıklama ve sınırlamalar</w:t>
            </w:r>
          </w:p>
        </w:tc>
      </w:tr>
      <w:tr w:rsidR="00265A9E" w:rsidRPr="00265A9E">
        <w:trPr>
          <w:trHeight w:val="510"/>
        </w:trPr>
        <w:tc>
          <w:tcPr>
            <w:tcW w:w="2533" w:type="dxa"/>
            <w:vMerge w:val="restart"/>
            <w:tcBorders>
              <w:top w:val="nil"/>
              <w:left w:val="single" w:sz="8" w:space="0" w:color="auto"/>
              <w:bottom w:val="single" w:sz="8" w:space="0" w:color="000000"/>
              <w:right w:val="single" w:sz="4" w:space="0" w:color="000000"/>
            </w:tcBorders>
            <w:shd w:val="clear" w:color="auto" w:fill="auto"/>
            <w:vAlign w:val="center"/>
          </w:tcPr>
          <w:p w:rsidR="002867AB" w:rsidRPr="00265A9E" w:rsidRDefault="002867AB" w:rsidP="00ED0748">
            <w:pPr>
              <w:rPr>
                <w:b/>
                <w:bCs/>
                <w:sz w:val="18"/>
                <w:szCs w:val="18"/>
              </w:rPr>
            </w:pPr>
            <w:proofErr w:type="spellStart"/>
            <w:r w:rsidRPr="00265A9E">
              <w:rPr>
                <w:b/>
                <w:bCs/>
                <w:sz w:val="18"/>
                <w:szCs w:val="18"/>
              </w:rPr>
              <w:t>Miyokard</w:t>
            </w:r>
            <w:proofErr w:type="spellEnd"/>
            <w:r w:rsidRPr="00265A9E">
              <w:rPr>
                <w:b/>
                <w:bCs/>
                <w:sz w:val="18"/>
                <w:szCs w:val="18"/>
              </w:rPr>
              <w:t xml:space="preserve"> Canlılığı (</w:t>
            </w:r>
            <w:proofErr w:type="spellStart"/>
            <w:r w:rsidRPr="00265A9E">
              <w:rPr>
                <w:b/>
                <w:bCs/>
                <w:sz w:val="18"/>
                <w:szCs w:val="18"/>
              </w:rPr>
              <w:t>Viabilite</w:t>
            </w:r>
            <w:proofErr w:type="spellEnd"/>
            <w:r w:rsidRPr="00265A9E">
              <w:rPr>
                <w:b/>
                <w:bCs/>
                <w:sz w:val="18"/>
                <w:szCs w:val="18"/>
              </w:rPr>
              <w:t>)</w:t>
            </w:r>
          </w:p>
        </w:tc>
        <w:tc>
          <w:tcPr>
            <w:tcW w:w="1260" w:type="dxa"/>
            <w:vMerge w:val="restart"/>
            <w:tcBorders>
              <w:top w:val="nil"/>
              <w:left w:val="single" w:sz="4" w:space="0" w:color="000000"/>
              <w:bottom w:val="single" w:sz="8" w:space="0" w:color="000000"/>
              <w:right w:val="single" w:sz="4" w:space="0" w:color="000000"/>
            </w:tcBorders>
            <w:shd w:val="clear" w:color="auto" w:fill="auto"/>
            <w:vAlign w:val="center"/>
          </w:tcPr>
          <w:p w:rsidR="002867AB" w:rsidRPr="00265A9E" w:rsidRDefault="002867AB" w:rsidP="00ED0748">
            <w:pPr>
              <w:rPr>
                <w:b/>
                <w:bCs/>
                <w:sz w:val="18"/>
                <w:szCs w:val="18"/>
              </w:rPr>
            </w:pPr>
            <w:r w:rsidRPr="00265A9E">
              <w:rPr>
                <w:b/>
                <w:bCs/>
                <w:sz w:val="18"/>
                <w:szCs w:val="18"/>
              </w:rPr>
              <w:t>I</w:t>
            </w:r>
            <w:proofErr w:type="gramStart"/>
            <w:r w:rsidRPr="00265A9E">
              <w:rPr>
                <w:b/>
                <w:bCs/>
                <w:sz w:val="18"/>
                <w:szCs w:val="18"/>
              </w:rPr>
              <w:t>20 -</w:t>
            </w:r>
            <w:proofErr w:type="gramEnd"/>
            <w:r w:rsidRPr="00265A9E">
              <w:rPr>
                <w:b/>
                <w:bCs/>
                <w:sz w:val="18"/>
                <w:szCs w:val="18"/>
              </w:rPr>
              <w:t xml:space="preserve"> I25</w:t>
            </w:r>
          </w:p>
        </w:tc>
        <w:tc>
          <w:tcPr>
            <w:tcW w:w="2032" w:type="dxa"/>
            <w:tcBorders>
              <w:top w:val="nil"/>
              <w:left w:val="nil"/>
              <w:bottom w:val="nil"/>
              <w:right w:val="single" w:sz="4" w:space="0" w:color="000000"/>
            </w:tcBorders>
            <w:shd w:val="clear" w:color="auto" w:fill="auto"/>
            <w:vAlign w:val="center"/>
          </w:tcPr>
          <w:p w:rsidR="002867AB" w:rsidRPr="00265A9E" w:rsidRDefault="002867AB" w:rsidP="00ED0748">
            <w:pPr>
              <w:rPr>
                <w:sz w:val="18"/>
                <w:szCs w:val="18"/>
              </w:rPr>
            </w:pPr>
            <w:proofErr w:type="spellStart"/>
            <w:r w:rsidRPr="00265A9E">
              <w:rPr>
                <w:sz w:val="18"/>
                <w:szCs w:val="18"/>
              </w:rPr>
              <w:t>Enfarkt</w:t>
            </w:r>
            <w:proofErr w:type="spellEnd"/>
            <w:r w:rsidRPr="00265A9E">
              <w:rPr>
                <w:sz w:val="18"/>
                <w:szCs w:val="18"/>
              </w:rPr>
              <w:t xml:space="preserve"> dokusunda </w:t>
            </w:r>
            <w:proofErr w:type="spellStart"/>
            <w:r w:rsidRPr="00265A9E">
              <w:rPr>
                <w:sz w:val="18"/>
                <w:szCs w:val="18"/>
              </w:rPr>
              <w:t>miyokard</w:t>
            </w:r>
            <w:proofErr w:type="spellEnd"/>
            <w:r w:rsidRPr="00265A9E">
              <w:rPr>
                <w:sz w:val="18"/>
                <w:szCs w:val="18"/>
              </w:rPr>
              <w:t xml:space="preserve"> canlılığının belirlenmesi</w:t>
            </w:r>
          </w:p>
        </w:tc>
        <w:tc>
          <w:tcPr>
            <w:tcW w:w="3008" w:type="dxa"/>
            <w:vMerge w:val="restart"/>
            <w:tcBorders>
              <w:top w:val="nil"/>
              <w:left w:val="single" w:sz="4" w:space="0" w:color="000000"/>
              <w:bottom w:val="single" w:sz="8" w:space="0" w:color="000000"/>
              <w:right w:val="single" w:sz="8" w:space="0" w:color="auto"/>
            </w:tcBorders>
            <w:shd w:val="clear" w:color="auto" w:fill="auto"/>
            <w:vAlign w:val="center"/>
          </w:tcPr>
          <w:p w:rsidR="002867AB" w:rsidRPr="00265A9E" w:rsidRDefault="002867AB" w:rsidP="00ED0748">
            <w:pPr>
              <w:rPr>
                <w:sz w:val="18"/>
                <w:szCs w:val="18"/>
              </w:rPr>
            </w:pPr>
            <w:proofErr w:type="spellStart"/>
            <w:r w:rsidRPr="00265A9E">
              <w:rPr>
                <w:sz w:val="18"/>
                <w:szCs w:val="18"/>
              </w:rPr>
              <w:t>Miyokard</w:t>
            </w:r>
            <w:proofErr w:type="spellEnd"/>
            <w:r w:rsidRPr="00265A9E">
              <w:rPr>
                <w:sz w:val="18"/>
                <w:szCs w:val="18"/>
              </w:rPr>
              <w:t xml:space="preserve"> </w:t>
            </w:r>
            <w:proofErr w:type="spellStart"/>
            <w:r w:rsidRPr="00265A9E">
              <w:rPr>
                <w:sz w:val="18"/>
                <w:szCs w:val="18"/>
              </w:rPr>
              <w:t>perfüzyon</w:t>
            </w:r>
            <w:proofErr w:type="spellEnd"/>
            <w:r w:rsidRPr="00265A9E">
              <w:rPr>
                <w:sz w:val="18"/>
                <w:szCs w:val="18"/>
              </w:rPr>
              <w:t xml:space="preserve"> SPECT ile tanı koyulamayan veya şüpheli sonuç alınan</w:t>
            </w:r>
            <w:r w:rsidR="00240B05" w:rsidRPr="00265A9E">
              <w:rPr>
                <w:sz w:val="18"/>
                <w:szCs w:val="18"/>
              </w:rPr>
              <w:t xml:space="preserve"> </w:t>
            </w:r>
            <w:r w:rsidRPr="00265A9E">
              <w:rPr>
                <w:sz w:val="18"/>
                <w:szCs w:val="18"/>
              </w:rPr>
              <w:t>hastalarda</w:t>
            </w:r>
          </w:p>
        </w:tc>
      </w:tr>
      <w:tr w:rsidR="002867AB" w:rsidRPr="00265A9E">
        <w:trPr>
          <w:trHeight w:val="525"/>
        </w:trPr>
        <w:tc>
          <w:tcPr>
            <w:tcW w:w="2533" w:type="dxa"/>
            <w:vMerge/>
            <w:tcBorders>
              <w:top w:val="nil"/>
              <w:left w:val="single" w:sz="8" w:space="0" w:color="auto"/>
              <w:bottom w:val="single" w:sz="8" w:space="0" w:color="000000"/>
              <w:right w:val="single" w:sz="4" w:space="0" w:color="000000"/>
            </w:tcBorders>
            <w:vAlign w:val="center"/>
          </w:tcPr>
          <w:p w:rsidR="002867AB" w:rsidRPr="00265A9E" w:rsidRDefault="002867AB" w:rsidP="00ED0748">
            <w:pPr>
              <w:rPr>
                <w:b/>
                <w:bCs/>
                <w:sz w:val="18"/>
                <w:szCs w:val="18"/>
              </w:rPr>
            </w:pPr>
          </w:p>
        </w:tc>
        <w:tc>
          <w:tcPr>
            <w:tcW w:w="1260" w:type="dxa"/>
            <w:vMerge/>
            <w:tcBorders>
              <w:top w:val="nil"/>
              <w:left w:val="single" w:sz="4" w:space="0" w:color="000000"/>
              <w:bottom w:val="single" w:sz="8" w:space="0" w:color="000000"/>
              <w:right w:val="single" w:sz="4" w:space="0" w:color="000000"/>
            </w:tcBorders>
            <w:vAlign w:val="center"/>
          </w:tcPr>
          <w:p w:rsidR="002867AB" w:rsidRPr="00265A9E" w:rsidRDefault="002867AB" w:rsidP="00ED0748">
            <w:pPr>
              <w:rPr>
                <w:b/>
                <w:bCs/>
                <w:sz w:val="18"/>
                <w:szCs w:val="18"/>
              </w:rPr>
            </w:pPr>
          </w:p>
        </w:tc>
        <w:tc>
          <w:tcPr>
            <w:tcW w:w="2032" w:type="dxa"/>
            <w:tcBorders>
              <w:top w:val="nil"/>
              <w:left w:val="nil"/>
              <w:bottom w:val="single" w:sz="8" w:space="0" w:color="auto"/>
              <w:right w:val="single" w:sz="4" w:space="0" w:color="000000"/>
            </w:tcBorders>
            <w:shd w:val="clear" w:color="auto" w:fill="auto"/>
            <w:vAlign w:val="center"/>
          </w:tcPr>
          <w:p w:rsidR="002867AB" w:rsidRPr="00265A9E" w:rsidRDefault="002867AB" w:rsidP="00ED0748">
            <w:pPr>
              <w:rPr>
                <w:sz w:val="18"/>
                <w:szCs w:val="18"/>
              </w:rPr>
            </w:pPr>
            <w:proofErr w:type="spellStart"/>
            <w:r w:rsidRPr="00265A9E">
              <w:rPr>
                <w:sz w:val="18"/>
                <w:szCs w:val="18"/>
              </w:rPr>
              <w:t>Revaskülarizasyon</w:t>
            </w:r>
            <w:proofErr w:type="spellEnd"/>
            <w:r w:rsidRPr="00265A9E">
              <w:rPr>
                <w:sz w:val="18"/>
                <w:szCs w:val="18"/>
              </w:rPr>
              <w:t xml:space="preserve"> ya da </w:t>
            </w:r>
            <w:proofErr w:type="spellStart"/>
            <w:r w:rsidRPr="00265A9E">
              <w:rPr>
                <w:sz w:val="18"/>
                <w:szCs w:val="18"/>
              </w:rPr>
              <w:t>transplant</w:t>
            </w:r>
            <w:proofErr w:type="spellEnd"/>
            <w:r w:rsidRPr="00265A9E">
              <w:rPr>
                <w:sz w:val="18"/>
                <w:szCs w:val="18"/>
              </w:rPr>
              <w:t xml:space="preserve"> öncesi </w:t>
            </w:r>
            <w:proofErr w:type="spellStart"/>
            <w:r w:rsidRPr="00265A9E">
              <w:rPr>
                <w:sz w:val="18"/>
                <w:szCs w:val="18"/>
              </w:rPr>
              <w:t>miyokard</w:t>
            </w:r>
            <w:proofErr w:type="spellEnd"/>
            <w:r w:rsidRPr="00265A9E">
              <w:rPr>
                <w:sz w:val="18"/>
                <w:szCs w:val="18"/>
              </w:rPr>
              <w:t xml:space="preserve"> canlılığının tayini</w:t>
            </w:r>
          </w:p>
        </w:tc>
        <w:tc>
          <w:tcPr>
            <w:tcW w:w="3008" w:type="dxa"/>
            <w:vMerge/>
            <w:tcBorders>
              <w:top w:val="nil"/>
              <w:left w:val="single" w:sz="4" w:space="0" w:color="000000"/>
              <w:bottom w:val="single" w:sz="8" w:space="0" w:color="000000"/>
              <w:right w:val="single" w:sz="8" w:space="0" w:color="auto"/>
            </w:tcBorders>
            <w:vAlign w:val="center"/>
          </w:tcPr>
          <w:p w:rsidR="002867AB" w:rsidRPr="00265A9E" w:rsidRDefault="002867AB" w:rsidP="00ED0748">
            <w:pPr>
              <w:rPr>
                <w:sz w:val="18"/>
                <w:szCs w:val="18"/>
              </w:rPr>
            </w:pPr>
          </w:p>
        </w:tc>
      </w:tr>
    </w:tbl>
    <w:p w:rsidR="005E1A4D" w:rsidRPr="00265A9E" w:rsidRDefault="005E1A4D" w:rsidP="00783752">
      <w:pPr>
        <w:rPr>
          <w:b/>
          <w:sz w:val="18"/>
          <w:szCs w:val="18"/>
        </w:rPr>
      </w:pPr>
    </w:p>
    <w:p w:rsidR="004A075D" w:rsidRPr="00265A9E" w:rsidRDefault="004A075D" w:rsidP="004A075D">
      <w:pPr>
        <w:rPr>
          <w:b/>
          <w:sz w:val="18"/>
          <w:szCs w:val="18"/>
        </w:rPr>
      </w:pPr>
    </w:p>
    <w:p w:rsidR="00147C26" w:rsidRPr="00AE373F" w:rsidRDefault="00147C26" w:rsidP="00147C26">
      <w:pPr>
        <w:jc w:val="center"/>
        <w:rPr>
          <w:rFonts w:eastAsia="Calibri"/>
          <w:b/>
          <w:sz w:val="18"/>
          <w:szCs w:val="18"/>
        </w:rPr>
      </w:pPr>
      <w:r w:rsidRPr="00AE373F">
        <w:rPr>
          <w:rFonts w:eastAsia="Calibri"/>
          <w:b/>
          <w:sz w:val="18"/>
          <w:szCs w:val="18"/>
        </w:rPr>
        <w:t xml:space="preserve">TABLO 4. ONKOLOJİK PET (Ga-68 işaretli </w:t>
      </w:r>
      <w:proofErr w:type="spellStart"/>
      <w:r w:rsidRPr="00AE373F">
        <w:rPr>
          <w:rFonts w:eastAsia="Calibri"/>
          <w:b/>
          <w:sz w:val="18"/>
          <w:szCs w:val="18"/>
        </w:rPr>
        <w:t>somatostatin</w:t>
      </w:r>
      <w:proofErr w:type="spellEnd"/>
      <w:r w:rsidRPr="00AE373F">
        <w:rPr>
          <w:rFonts w:eastAsia="Calibri"/>
          <w:b/>
          <w:sz w:val="18"/>
          <w:szCs w:val="18"/>
        </w:rPr>
        <w:t xml:space="preserve"> analog </w:t>
      </w:r>
      <w:proofErr w:type="spellStart"/>
      <w:r w:rsidRPr="00AE373F">
        <w:rPr>
          <w:rFonts w:eastAsia="Calibri"/>
          <w:b/>
          <w:sz w:val="18"/>
          <w:szCs w:val="18"/>
        </w:rPr>
        <w:t>peptid</w:t>
      </w:r>
      <w:proofErr w:type="spellEnd"/>
      <w:r w:rsidRPr="00AE373F">
        <w:rPr>
          <w:rFonts w:eastAsia="Calibri"/>
          <w:b/>
          <w:sz w:val="18"/>
          <w:szCs w:val="18"/>
        </w:rPr>
        <w:t xml:space="preserve"> bileşikler ile) ENDİKASYONLARI</w:t>
      </w:r>
    </w:p>
    <w:p w:rsidR="004A075D" w:rsidRPr="00265A9E" w:rsidRDefault="004A075D" w:rsidP="004A075D">
      <w:pPr>
        <w:rPr>
          <w:b/>
          <w:sz w:val="18"/>
          <w:szCs w:val="18"/>
        </w:rPr>
      </w:pPr>
    </w:p>
    <w:p w:rsidR="00265A9E" w:rsidRPr="00265A9E" w:rsidRDefault="00265A9E" w:rsidP="00265A9E">
      <w:pPr>
        <w:ind w:firstLine="708"/>
        <w:jc w:val="both"/>
        <w:rPr>
          <w:rFonts w:eastAsia="Calibri"/>
          <w:sz w:val="18"/>
          <w:szCs w:val="18"/>
        </w:rPr>
      </w:pPr>
      <w:r w:rsidRPr="00265A9E">
        <w:rPr>
          <w:rFonts w:eastAsia="Calibri"/>
          <w:sz w:val="18"/>
          <w:szCs w:val="18"/>
        </w:rPr>
        <w:t>Bu bölüm pozitron yayıcı radyoizotoplar kullanılarak PET, kombine PET/BT veya kombine PET/MR tarayıcı kameralarda yapılan tanısal görüntüleme işlemlerini kapsar.</w:t>
      </w:r>
    </w:p>
    <w:p w:rsidR="00265A9E" w:rsidRPr="00265A9E" w:rsidRDefault="00265A9E" w:rsidP="00265A9E">
      <w:pPr>
        <w:ind w:firstLine="708"/>
        <w:jc w:val="both"/>
        <w:rPr>
          <w:rFonts w:eastAsia="Calibri"/>
          <w:sz w:val="18"/>
          <w:szCs w:val="18"/>
        </w:rPr>
      </w:pPr>
      <w:r w:rsidRPr="00265A9E">
        <w:rPr>
          <w:rFonts w:eastAsia="Calibri"/>
          <w:sz w:val="18"/>
          <w:szCs w:val="18"/>
        </w:rPr>
        <w:t xml:space="preserve">801364 kodlu “Ga-68 işaretli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w:t>
      </w:r>
      <w:proofErr w:type="spellEnd"/>
      <w:r w:rsidRPr="00265A9E">
        <w:rPr>
          <w:rFonts w:eastAsia="Calibri"/>
          <w:sz w:val="18"/>
          <w:szCs w:val="18"/>
        </w:rPr>
        <w:t xml:space="preserve"> bileşikleri ile (DOTA-TATE, DOTA-NOC, DOTA-TOC ve türevleri)” yapılan PET görüntüleme tetkikleri için geçerlidir.</w:t>
      </w:r>
      <w:r w:rsidRPr="00265A9E">
        <w:rPr>
          <w:sz w:val="18"/>
          <w:szCs w:val="18"/>
        </w:rPr>
        <w:t xml:space="preserve"> </w:t>
      </w:r>
      <w:r w:rsidRPr="00265A9E">
        <w:rPr>
          <w:rFonts w:eastAsia="Calibri"/>
          <w:sz w:val="18"/>
          <w:szCs w:val="18"/>
        </w:rPr>
        <w:t>Sadece</w:t>
      </w:r>
      <w:r w:rsidRPr="00265A9E">
        <w:rPr>
          <w:sz w:val="18"/>
          <w:szCs w:val="18"/>
        </w:rPr>
        <w:t xml:space="preserve"> </w:t>
      </w:r>
      <w:r w:rsidRPr="00265A9E">
        <w:rPr>
          <w:rFonts w:eastAsia="Calibri"/>
          <w:sz w:val="18"/>
          <w:szCs w:val="18"/>
        </w:rPr>
        <w:t>Üçüncü basamak resmi sağlık hizmet sunucuları tarafından faturalandırılır”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1276"/>
        <w:gridCol w:w="2126"/>
        <w:gridCol w:w="2977"/>
      </w:tblGrid>
      <w:tr w:rsidR="00265A9E" w:rsidRPr="00265A9E" w:rsidTr="00265A9E">
        <w:trPr>
          <w:trHeight w:val="223"/>
          <w:tblHeader/>
        </w:trPr>
        <w:tc>
          <w:tcPr>
            <w:tcW w:w="2547" w:type="dxa"/>
            <w:shd w:val="clear" w:color="auto" w:fill="auto"/>
          </w:tcPr>
          <w:p w:rsidR="00265A9E" w:rsidRPr="00265A9E" w:rsidRDefault="00265A9E" w:rsidP="001326C0">
            <w:pPr>
              <w:jc w:val="both"/>
              <w:rPr>
                <w:rFonts w:eastAsia="Calibri"/>
                <w:b/>
                <w:sz w:val="18"/>
                <w:szCs w:val="18"/>
              </w:rPr>
            </w:pPr>
            <w:r w:rsidRPr="00265A9E">
              <w:rPr>
                <w:rFonts w:eastAsia="Calibri"/>
                <w:b/>
                <w:sz w:val="18"/>
                <w:szCs w:val="18"/>
              </w:rPr>
              <w:t>Klinik Durum</w:t>
            </w:r>
          </w:p>
        </w:tc>
        <w:tc>
          <w:tcPr>
            <w:tcW w:w="1276" w:type="dxa"/>
            <w:shd w:val="clear" w:color="auto" w:fill="auto"/>
          </w:tcPr>
          <w:p w:rsidR="00265A9E" w:rsidRPr="00265A9E" w:rsidRDefault="00265A9E" w:rsidP="001326C0">
            <w:pPr>
              <w:jc w:val="both"/>
              <w:rPr>
                <w:rFonts w:eastAsia="Calibri"/>
                <w:b/>
                <w:sz w:val="18"/>
                <w:szCs w:val="18"/>
              </w:rPr>
            </w:pPr>
            <w:r w:rsidRPr="00265A9E">
              <w:rPr>
                <w:rFonts w:eastAsia="Calibri"/>
                <w:b/>
                <w:sz w:val="18"/>
                <w:szCs w:val="18"/>
              </w:rPr>
              <w:t>ICD-10 kodu</w:t>
            </w:r>
          </w:p>
        </w:tc>
        <w:tc>
          <w:tcPr>
            <w:tcW w:w="2126" w:type="dxa"/>
            <w:shd w:val="clear" w:color="auto" w:fill="auto"/>
          </w:tcPr>
          <w:p w:rsidR="00265A9E" w:rsidRPr="00265A9E" w:rsidRDefault="00265A9E" w:rsidP="001326C0">
            <w:pPr>
              <w:jc w:val="both"/>
              <w:rPr>
                <w:rFonts w:eastAsia="Calibri"/>
                <w:b/>
                <w:sz w:val="18"/>
                <w:szCs w:val="18"/>
              </w:rPr>
            </w:pPr>
            <w:r w:rsidRPr="00265A9E">
              <w:rPr>
                <w:rFonts w:eastAsia="Calibri"/>
                <w:b/>
                <w:sz w:val="18"/>
                <w:szCs w:val="18"/>
              </w:rPr>
              <w:t xml:space="preserve">PET </w:t>
            </w:r>
            <w:proofErr w:type="spellStart"/>
            <w:r w:rsidRPr="00265A9E">
              <w:rPr>
                <w:rFonts w:eastAsia="Calibri"/>
                <w:b/>
                <w:sz w:val="18"/>
                <w:szCs w:val="18"/>
              </w:rPr>
              <w:t>endikasyonları</w:t>
            </w:r>
            <w:proofErr w:type="spellEnd"/>
          </w:p>
        </w:tc>
        <w:tc>
          <w:tcPr>
            <w:tcW w:w="2977" w:type="dxa"/>
            <w:shd w:val="clear" w:color="auto" w:fill="auto"/>
          </w:tcPr>
          <w:p w:rsidR="00265A9E" w:rsidRPr="00265A9E" w:rsidRDefault="00265A9E" w:rsidP="001326C0">
            <w:pPr>
              <w:jc w:val="both"/>
              <w:rPr>
                <w:rFonts w:eastAsia="Calibri"/>
                <w:b/>
                <w:sz w:val="18"/>
                <w:szCs w:val="18"/>
              </w:rPr>
            </w:pPr>
            <w:r w:rsidRPr="00265A9E">
              <w:rPr>
                <w:rFonts w:eastAsia="Calibri"/>
                <w:b/>
                <w:sz w:val="18"/>
                <w:szCs w:val="18"/>
              </w:rPr>
              <w:t>Açıklama ve sınırlamalar</w:t>
            </w:r>
          </w:p>
        </w:tc>
      </w:tr>
      <w:tr w:rsidR="00265A9E" w:rsidRPr="00265A9E" w:rsidTr="00265A9E">
        <w:trPr>
          <w:trHeight w:val="285"/>
        </w:trPr>
        <w:tc>
          <w:tcPr>
            <w:tcW w:w="2547" w:type="dxa"/>
            <w:vMerge w:val="restart"/>
            <w:shd w:val="clear" w:color="auto" w:fill="auto"/>
          </w:tcPr>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roofErr w:type="spellStart"/>
            <w:r w:rsidRPr="00265A9E">
              <w:rPr>
                <w:rFonts w:eastAsia="Calibri"/>
                <w:sz w:val="18"/>
                <w:szCs w:val="18"/>
              </w:rPr>
              <w:t>Nöroendokrin</w:t>
            </w:r>
            <w:proofErr w:type="spellEnd"/>
            <w:r w:rsidRPr="00265A9E">
              <w:rPr>
                <w:rFonts w:eastAsia="Calibri"/>
                <w:sz w:val="18"/>
                <w:szCs w:val="18"/>
              </w:rPr>
              <w:t xml:space="preserve"> tümörler (Herhangi bir organdan köken alan veya </w:t>
            </w:r>
            <w:proofErr w:type="spellStart"/>
            <w:r w:rsidRPr="00265A9E">
              <w:rPr>
                <w:rFonts w:eastAsia="Calibri"/>
                <w:sz w:val="18"/>
                <w:szCs w:val="18"/>
              </w:rPr>
              <w:t>primeri</w:t>
            </w:r>
            <w:proofErr w:type="spellEnd"/>
            <w:r w:rsidRPr="00265A9E">
              <w:rPr>
                <w:rFonts w:eastAsia="Calibri"/>
                <w:sz w:val="18"/>
                <w:szCs w:val="18"/>
              </w:rPr>
              <w:t xml:space="preserve"> bilinmeyen </w:t>
            </w:r>
            <w:proofErr w:type="spellStart"/>
            <w:r w:rsidRPr="00265A9E">
              <w:rPr>
                <w:rFonts w:eastAsia="Calibri"/>
                <w:sz w:val="18"/>
                <w:szCs w:val="18"/>
              </w:rPr>
              <w:t>nöroendokrin</w:t>
            </w:r>
            <w:proofErr w:type="spellEnd"/>
            <w:r w:rsidRPr="00265A9E">
              <w:rPr>
                <w:rFonts w:eastAsia="Calibri"/>
                <w:sz w:val="18"/>
                <w:szCs w:val="18"/>
              </w:rPr>
              <w:t xml:space="preserve"> tümörler, </w:t>
            </w:r>
            <w:proofErr w:type="spellStart"/>
            <w:r w:rsidRPr="00265A9E">
              <w:rPr>
                <w:rFonts w:eastAsia="Calibri"/>
                <w:sz w:val="18"/>
                <w:szCs w:val="18"/>
              </w:rPr>
              <w:t>karsinoid</w:t>
            </w:r>
            <w:proofErr w:type="spellEnd"/>
            <w:r w:rsidRPr="00265A9E">
              <w:rPr>
                <w:rFonts w:eastAsia="Calibri"/>
                <w:sz w:val="18"/>
                <w:szCs w:val="18"/>
              </w:rPr>
              <w:t xml:space="preserve"> tümörler, </w:t>
            </w:r>
            <w:proofErr w:type="spellStart"/>
            <w:r w:rsidRPr="00265A9E">
              <w:rPr>
                <w:rFonts w:eastAsia="Calibri"/>
                <w:sz w:val="18"/>
                <w:szCs w:val="18"/>
              </w:rPr>
              <w:t>paratiroid</w:t>
            </w:r>
            <w:proofErr w:type="spellEnd"/>
            <w:r w:rsidRPr="00265A9E">
              <w:rPr>
                <w:rFonts w:eastAsia="Calibri"/>
                <w:sz w:val="18"/>
                <w:szCs w:val="18"/>
              </w:rPr>
              <w:t xml:space="preserve"> kanseri)</w:t>
            </w:r>
          </w:p>
        </w:tc>
        <w:tc>
          <w:tcPr>
            <w:tcW w:w="1276" w:type="dxa"/>
            <w:vMerge w:val="restart"/>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Primer</w:t>
            </w:r>
            <w:proofErr w:type="spellEnd"/>
            <w:r w:rsidRPr="00265A9E">
              <w:rPr>
                <w:rFonts w:eastAsia="Calibri"/>
                <w:sz w:val="18"/>
                <w:szCs w:val="18"/>
              </w:rPr>
              <w:t xml:space="preserve"> tümörün köken aldığı organa göre</w:t>
            </w:r>
          </w:p>
          <w:p w:rsidR="00265A9E" w:rsidRPr="00265A9E" w:rsidRDefault="00265A9E" w:rsidP="001326C0">
            <w:pPr>
              <w:jc w:val="both"/>
              <w:rPr>
                <w:rFonts w:eastAsia="Calibri"/>
                <w:sz w:val="18"/>
                <w:szCs w:val="18"/>
              </w:rPr>
            </w:pPr>
            <w:r w:rsidRPr="00265A9E">
              <w:rPr>
                <w:rFonts w:eastAsia="Calibri"/>
                <w:sz w:val="18"/>
                <w:szCs w:val="18"/>
              </w:rPr>
              <w:t>(C00-C75, C80)</w:t>
            </w: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proofErr w:type="gramStart"/>
            <w:r w:rsidRPr="00265A9E">
              <w:rPr>
                <w:rFonts w:eastAsia="Calibri"/>
                <w:sz w:val="18"/>
                <w:szCs w:val="18"/>
              </w:rPr>
              <w:t>Tanı(</w:t>
            </w:r>
            <w:proofErr w:type="spellStart"/>
            <w:proofErr w:type="gramEnd"/>
            <w:r w:rsidRPr="00265A9E">
              <w:rPr>
                <w:rFonts w:eastAsia="Calibri"/>
                <w:sz w:val="18"/>
                <w:szCs w:val="18"/>
              </w:rPr>
              <w:t>Primer</w:t>
            </w:r>
            <w:proofErr w:type="spellEnd"/>
            <w:r w:rsidRPr="00265A9E">
              <w:rPr>
                <w:rFonts w:eastAsia="Calibri"/>
                <w:sz w:val="18"/>
                <w:szCs w:val="18"/>
              </w:rPr>
              <w:t xml:space="preserve"> Odak Arama)</w:t>
            </w:r>
          </w:p>
        </w:tc>
        <w:tc>
          <w:tcPr>
            <w:tcW w:w="2977"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 xml:space="preserve">Klinik biyokimyasal olarak </w:t>
            </w:r>
            <w:proofErr w:type="spellStart"/>
            <w:r w:rsidRPr="00265A9E">
              <w:rPr>
                <w:rFonts w:eastAsia="Calibri"/>
                <w:sz w:val="18"/>
                <w:szCs w:val="18"/>
              </w:rPr>
              <w:t>karsinoid</w:t>
            </w:r>
            <w:proofErr w:type="spellEnd"/>
            <w:r w:rsidRPr="00265A9E">
              <w:rPr>
                <w:rFonts w:eastAsia="Calibri"/>
                <w:sz w:val="18"/>
                <w:szCs w:val="18"/>
              </w:rPr>
              <w:t xml:space="preserve"> sendrom tanısı olan ve diğer görüntüleme yöntemleri ile odak saptanamayan hastalar</w:t>
            </w:r>
          </w:p>
          <w:p w:rsidR="00265A9E" w:rsidRPr="00265A9E" w:rsidRDefault="00265A9E" w:rsidP="001326C0">
            <w:pPr>
              <w:jc w:val="both"/>
              <w:rPr>
                <w:rFonts w:eastAsia="Calibri"/>
                <w:sz w:val="18"/>
                <w:szCs w:val="18"/>
              </w:rPr>
            </w:pPr>
            <w:r w:rsidRPr="00265A9E">
              <w:rPr>
                <w:rFonts w:eastAsia="Calibri"/>
                <w:sz w:val="18"/>
                <w:szCs w:val="18"/>
              </w:rPr>
              <w:t xml:space="preserve">Klinik biyokimyasal olarak </w:t>
            </w:r>
            <w:proofErr w:type="spellStart"/>
            <w:r w:rsidRPr="00265A9E">
              <w:rPr>
                <w:rFonts w:eastAsia="Calibri"/>
                <w:sz w:val="18"/>
                <w:szCs w:val="18"/>
              </w:rPr>
              <w:t>insulinoma</w:t>
            </w:r>
            <w:proofErr w:type="spellEnd"/>
            <w:r w:rsidRPr="00265A9E">
              <w:rPr>
                <w:rFonts w:eastAsia="Calibri"/>
                <w:sz w:val="18"/>
                <w:szCs w:val="18"/>
              </w:rPr>
              <w:t xml:space="preserve"> tanısı olan ve diğer görüntüleme yöntemleri ile odak saptanamayan hastalar</w:t>
            </w:r>
          </w:p>
          <w:p w:rsidR="00265A9E" w:rsidRPr="00265A9E" w:rsidRDefault="00265A9E" w:rsidP="001326C0">
            <w:pPr>
              <w:jc w:val="both"/>
              <w:rPr>
                <w:rFonts w:eastAsia="Calibri"/>
                <w:sz w:val="18"/>
                <w:szCs w:val="18"/>
              </w:rPr>
            </w:pPr>
            <w:proofErr w:type="spellStart"/>
            <w:r w:rsidRPr="00265A9E">
              <w:rPr>
                <w:rFonts w:eastAsia="Calibri"/>
                <w:sz w:val="18"/>
                <w:szCs w:val="18"/>
              </w:rPr>
              <w:t>Primer</w:t>
            </w:r>
            <w:proofErr w:type="spellEnd"/>
            <w:r w:rsidRPr="00265A9E">
              <w:rPr>
                <w:rFonts w:eastAsia="Calibri"/>
                <w:sz w:val="18"/>
                <w:szCs w:val="18"/>
              </w:rPr>
              <w:t xml:space="preserve"> tümör aranması</w:t>
            </w:r>
          </w:p>
        </w:tc>
      </w:tr>
      <w:tr w:rsidR="00265A9E" w:rsidRPr="00265A9E" w:rsidTr="00265A9E">
        <w:trPr>
          <w:trHeight w:val="141"/>
        </w:trPr>
        <w:tc>
          <w:tcPr>
            <w:tcW w:w="2547" w:type="dxa"/>
            <w:vMerge/>
          </w:tcPr>
          <w:p w:rsidR="00265A9E" w:rsidRPr="00265A9E" w:rsidRDefault="00265A9E" w:rsidP="001326C0">
            <w:pPr>
              <w:jc w:val="both"/>
              <w:rPr>
                <w:rFonts w:eastAsia="Calibri"/>
                <w:sz w:val="18"/>
                <w:szCs w:val="18"/>
              </w:rPr>
            </w:pPr>
          </w:p>
        </w:tc>
        <w:tc>
          <w:tcPr>
            <w:tcW w:w="1276" w:type="dxa"/>
            <w:vMerge/>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Evreleme</w:t>
            </w:r>
            <w:proofErr w:type="spellEnd"/>
          </w:p>
        </w:tc>
        <w:tc>
          <w:tcPr>
            <w:tcW w:w="2977" w:type="dxa"/>
            <w:vMerge w:val="restart"/>
            <w:shd w:val="clear" w:color="auto" w:fill="auto"/>
          </w:tcPr>
          <w:p w:rsidR="00265A9E" w:rsidRPr="00265A9E" w:rsidRDefault="00265A9E" w:rsidP="001326C0">
            <w:pPr>
              <w:jc w:val="both"/>
              <w:rPr>
                <w:rFonts w:eastAsia="Calibri"/>
                <w:sz w:val="18"/>
                <w:szCs w:val="18"/>
              </w:rPr>
            </w:pPr>
            <w:r w:rsidRPr="00265A9E">
              <w:rPr>
                <w:rFonts w:eastAsia="Calibri"/>
                <w:sz w:val="18"/>
                <w:szCs w:val="18"/>
              </w:rPr>
              <w:t xml:space="preserve">- </w:t>
            </w:r>
            <w:proofErr w:type="spellStart"/>
            <w:r w:rsidRPr="00265A9E">
              <w:rPr>
                <w:rFonts w:eastAsia="Calibri"/>
                <w:sz w:val="18"/>
                <w:szCs w:val="18"/>
              </w:rPr>
              <w:t>Nöroendokrin</w:t>
            </w:r>
            <w:proofErr w:type="spellEnd"/>
            <w:r w:rsidRPr="00265A9E">
              <w:rPr>
                <w:rFonts w:eastAsia="Calibri"/>
                <w:sz w:val="18"/>
                <w:szCs w:val="18"/>
              </w:rPr>
              <w:t xml:space="preserve"> tümör (</w:t>
            </w:r>
            <w:proofErr w:type="spellStart"/>
            <w:r w:rsidRPr="00265A9E">
              <w:rPr>
                <w:rFonts w:eastAsia="Calibri"/>
                <w:sz w:val="18"/>
                <w:szCs w:val="18"/>
              </w:rPr>
              <w:t>grade</w:t>
            </w:r>
            <w:proofErr w:type="spellEnd"/>
            <w:r w:rsidRPr="00265A9E">
              <w:rPr>
                <w:rFonts w:eastAsia="Calibri"/>
                <w:sz w:val="18"/>
                <w:szCs w:val="18"/>
              </w:rPr>
              <w:t xml:space="preserve"> 1-2) tanısının </w:t>
            </w:r>
            <w:proofErr w:type="spellStart"/>
            <w:r w:rsidRPr="00265A9E">
              <w:rPr>
                <w:rFonts w:eastAsia="Calibri"/>
                <w:sz w:val="18"/>
                <w:szCs w:val="18"/>
              </w:rPr>
              <w:t>histopatolojik</w:t>
            </w:r>
            <w:proofErr w:type="spellEnd"/>
            <w:r w:rsidRPr="00265A9E">
              <w:rPr>
                <w:rFonts w:eastAsia="Calibri"/>
                <w:sz w:val="18"/>
                <w:szCs w:val="18"/>
              </w:rPr>
              <w:t xml:space="preserve"> olarak konulduğu hastalar</w:t>
            </w:r>
          </w:p>
          <w:p w:rsidR="00265A9E" w:rsidRPr="00265A9E" w:rsidRDefault="00265A9E" w:rsidP="001326C0">
            <w:pPr>
              <w:jc w:val="both"/>
              <w:rPr>
                <w:rFonts w:eastAsia="Calibri"/>
                <w:sz w:val="18"/>
                <w:szCs w:val="18"/>
              </w:rPr>
            </w:pPr>
            <w:r w:rsidRPr="00265A9E">
              <w:rPr>
                <w:rFonts w:eastAsia="Calibri"/>
                <w:sz w:val="18"/>
                <w:szCs w:val="18"/>
              </w:rPr>
              <w:t xml:space="preserve">- </w:t>
            </w:r>
            <w:proofErr w:type="spellStart"/>
            <w:r w:rsidRPr="00265A9E">
              <w:rPr>
                <w:rFonts w:eastAsia="Calibri"/>
                <w:sz w:val="18"/>
                <w:szCs w:val="18"/>
              </w:rPr>
              <w:t>Histopatolojik</w:t>
            </w:r>
            <w:proofErr w:type="spellEnd"/>
            <w:r w:rsidRPr="00265A9E">
              <w:rPr>
                <w:rFonts w:eastAsia="Calibri"/>
                <w:sz w:val="18"/>
                <w:szCs w:val="18"/>
              </w:rPr>
              <w:t xml:space="preserve"> tanı ile uyumlu olarak tümör belirteçlerinde yükselme olan hastalar</w:t>
            </w:r>
          </w:p>
        </w:tc>
      </w:tr>
      <w:tr w:rsidR="00265A9E" w:rsidRPr="00265A9E" w:rsidTr="00265A9E">
        <w:trPr>
          <w:trHeight w:val="141"/>
        </w:trPr>
        <w:tc>
          <w:tcPr>
            <w:tcW w:w="2547" w:type="dxa"/>
            <w:vMerge/>
          </w:tcPr>
          <w:p w:rsidR="00265A9E" w:rsidRPr="00265A9E" w:rsidRDefault="00265A9E" w:rsidP="001326C0">
            <w:pPr>
              <w:jc w:val="both"/>
              <w:rPr>
                <w:rFonts w:eastAsia="Calibri"/>
                <w:sz w:val="18"/>
                <w:szCs w:val="18"/>
              </w:rPr>
            </w:pPr>
          </w:p>
        </w:tc>
        <w:tc>
          <w:tcPr>
            <w:tcW w:w="1276" w:type="dxa"/>
            <w:vMerge/>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Tedaviye yanıt</w:t>
            </w:r>
          </w:p>
        </w:tc>
        <w:tc>
          <w:tcPr>
            <w:tcW w:w="2977" w:type="dxa"/>
            <w:vMerge/>
            <w:shd w:val="clear" w:color="auto" w:fill="auto"/>
          </w:tcPr>
          <w:p w:rsidR="00265A9E" w:rsidRPr="00265A9E" w:rsidRDefault="00265A9E" w:rsidP="001326C0">
            <w:pPr>
              <w:jc w:val="both"/>
              <w:rPr>
                <w:rFonts w:eastAsia="Calibri"/>
                <w:sz w:val="18"/>
                <w:szCs w:val="18"/>
              </w:rPr>
            </w:pPr>
          </w:p>
        </w:tc>
      </w:tr>
      <w:tr w:rsidR="00265A9E" w:rsidRPr="00265A9E" w:rsidTr="00265A9E">
        <w:trPr>
          <w:trHeight w:val="150"/>
        </w:trPr>
        <w:tc>
          <w:tcPr>
            <w:tcW w:w="2547" w:type="dxa"/>
            <w:vMerge/>
          </w:tcPr>
          <w:p w:rsidR="00265A9E" w:rsidRPr="00265A9E" w:rsidRDefault="00265A9E" w:rsidP="001326C0">
            <w:pPr>
              <w:jc w:val="both"/>
              <w:rPr>
                <w:rFonts w:eastAsia="Calibri"/>
                <w:sz w:val="18"/>
                <w:szCs w:val="18"/>
              </w:rPr>
            </w:pPr>
          </w:p>
        </w:tc>
        <w:tc>
          <w:tcPr>
            <w:tcW w:w="1276" w:type="dxa"/>
            <w:vMerge/>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 xml:space="preserve">Lu-177 Y-90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w:t>
            </w:r>
            <w:proofErr w:type="spellEnd"/>
            <w:r w:rsidRPr="00265A9E">
              <w:rPr>
                <w:rFonts w:eastAsia="Calibri"/>
                <w:sz w:val="18"/>
                <w:szCs w:val="18"/>
              </w:rPr>
              <w:t xml:space="preserve"> ile (DOTA-TATE, DOTA-NOC, DOTA-TOC ve türevleri) tedavi planlaması</w:t>
            </w:r>
          </w:p>
        </w:tc>
        <w:tc>
          <w:tcPr>
            <w:tcW w:w="2977" w:type="dxa"/>
            <w:vMerge/>
            <w:shd w:val="clear" w:color="auto" w:fill="auto"/>
          </w:tcPr>
          <w:p w:rsidR="00265A9E" w:rsidRPr="00265A9E" w:rsidRDefault="00265A9E" w:rsidP="001326C0">
            <w:pPr>
              <w:jc w:val="both"/>
              <w:rPr>
                <w:rFonts w:eastAsia="Calibri"/>
                <w:sz w:val="18"/>
                <w:szCs w:val="18"/>
              </w:rPr>
            </w:pPr>
          </w:p>
        </w:tc>
      </w:tr>
      <w:tr w:rsidR="00265A9E" w:rsidRPr="00265A9E" w:rsidTr="00265A9E">
        <w:trPr>
          <w:trHeight w:val="121"/>
        </w:trPr>
        <w:tc>
          <w:tcPr>
            <w:tcW w:w="2547" w:type="dxa"/>
            <w:vMerge w:val="restart"/>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Medüller</w:t>
            </w:r>
            <w:proofErr w:type="spellEnd"/>
            <w:r w:rsidRPr="00265A9E">
              <w:rPr>
                <w:rFonts w:eastAsia="Calibri"/>
                <w:sz w:val="18"/>
                <w:szCs w:val="18"/>
              </w:rPr>
              <w:t xml:space="preserve"> tiroit kanseri</w:t>
            </w:r>
          </w:p>
        </w:tc>
        <w:tc>
          <w:tcPr>
            <w:tcW w:w="1276" w:type="dxa"/>
            <w:vMerge w:val="restart"/>
            <w:shd w:val="clear" w:color="auto" w:fill="auto"/>
          </w:tcPr>
          <w:p w:rsidR="00265A9E" w:rsidRPr="00265A9E" w:rsidRDefault="00265A9E" w:rsidP="001326C0">
            <w:pPr>
              <w:jc w:val="both"/>
              <w:rPr>
                <w:rFonts w:eastAsia="Calibri"/>
                <w:sz w:val="18"/>
                <w:szCs w:val="18"/>
              </w:rPr>
            </w:pPr>
            <w:r w:rsidRPr="00265A9E">
              <w:rPr>
                <w:rFonts w:eastAsia="Calibri"/>
                <w:sz w:val="18"/>
                <w:szCs w:val="18"/>
              </w:rPr>
              <w:t>C73</w:t>
            </w:r>
          </w:p>
        </w:tc>
        <w:tc>
          <w:tcPr>
            <w:tcW w:w="2126" w:type="dxa"/>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Evreleme</w:t>
            </w:r>
            <w:proofErr w:type="spellEnd"/>
          </w:p>
        </w:tc>
        <w:tc>
          <w:tcPr>
            <w:tcW w:w="2977" w:type="dxa"/>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Kalsitonin</w:t>
            </w:r>
            <w:proofErr w:type="spellEnd"/>
            <w:r w:rsidRPr="00265A9E">
              <w:rPr>
                <w:rFonts w:eastAsia="Calibri"/>
                <w:sz w:val="18"/>
                <w:szCs w:val="18"/>
              </w:rPr>
              <w:t xml:space="preserve"> yüksekliği gereklidir</w:t>
            </w:r>
          </w:p>
        </w:tc>
      </w:tr>
      <w:tr w:rsidR="00265A9E" w:rsidRPr="00265A9E" w:rsidTr="00265A9E">
        <w:trPr>
          <w:trHeight w:val="141"/>
        </w:trPr>
        <w:tc>
          <w:tcPr>
            <w:tcW w:w="2547" w:type="dxa"/>
            <w:vMerge/>
          </w:tcPr>
          <w:p w:rsidR="00265A9E" w:rsidRPr="00265A9E" w:rsidRDefault="00265A9E" w:rsidP="001326C0">
            <w:pPr>
              <w:jc w:val="both"/>
              <w:rPr>
                <w:rFonts w:eastAsia="Calibri"/>
                <w:sz w:val="18"/>
                <w:szCs w:val="18"/>
              </w:rPr>
            </w:pPr>
          </w:p>
        </w:tc>
        <w:tc>
          <w:tcPr>
            <w:tcW w:w="1276" w:type="dxa"/>
            <w:vMerge/>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Tedaviye Yanıt</w:t>
            </w:r>
          </w:p>
        </w:tc>
        <w:tc>
          <w:tcPr>
            <w:tcW w:w="2977" w:type="dxa"/>
            <w:shd w:val="clear" w:color="auto" w:fill="auto"/>
          </w:tcPr>
          <w:p w:rsidR="00265A9E" w:rsidRPr="00265A9E" w:rsidRDefault="00265A9E" w:rsidP="001326C0">
            <w:pPr>
              <w:jc w:val="both"/>
              <w:rPr>
                <w:rFonts w:eastAsia="Calibri"/>
                <w:sz w:val="18"/>
                <w:szCs w:val="18"/>
              </w:rPr>
            </w:pPr>
          </w:p>
        </w:tc>
      </w:tr>
      <w:tr w:rsidR="00265A9E" w:rsidRPr="00265A9E" w:rsidTr="00265A9E">
        <w:trPr>
          <w:trHeight w:val="202"/>
        </w:trPr>
        <w:tc>
          <w:tcPr>
            <w:tcW w:w="2547" w:type="dxa"/>
            <w:vMerge/>
          </w:tcPr>
          <w:p w:rsidR="00265A9E" w:rsidRPr="00265A9E" w:rsidRDefault="00265A9E" w:rsidP="001326C0">
            <w:pPr>
              <w:jc w:val="both"/>
              <w:rPr>
                <w:rFonts w:eastAsia="Calibri"/>
                <w:sz w:val="18"/>
                <w:szCs w:val="18"/>
              </w:rPr>
            </w:pPr>
          </w:p>
        </w:tc>
        <w:tc>
          <w:tcPr>
            <w:tcW w:w="1276" w:type="dxa"/>
            <w:vMerge/>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 xml:space="preserve">Lu-177 / Y-90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w:t>
            </w:r>
            <w:proofErr w:type="spellEnd"/>
            <w:r w:rsidRPr="00265A9E">
              <w:rPr>
                <w:rFonts w:eastAsia="Calibri"/>
                <w:sz w:val="18"/>
                <w:szCs w:val="18"/>
              </w:rPr>
              <w:t xml:space="preserve"> ile (DOTA-TATE, DOTA-</w:t>
            </w:r>
            <w:r w:rsidRPr="00265A9E">
              <w:rPr>
                <w:rFonts w:eastAsia="Calibri"/>
                <w:sz w:val="18"/>
                <w:szCs w:val="18"/>
              </w:rPr>
              <w:lastRenderedPageBreak/>
              <w:t>NOC, DOTA-TOC ve türevleri) tedavi planlaması</w:t>
            </w:r>
          </w:p>
        </w:tc>
        <w:tc>
          <w:tcPr>
            <w:tcW w:w="2977" w:type="dxa"/>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lastRenderedPageBreak/>
              <w:t>Kalsitonin</w:t>
            </w:r>
            <w:proofErr w:type="spellEnd"/>
            <w:r w:rsidRPr="00265A9E">
              <w:rPr>
                <w:rFonts w:eastAsia="Calibri"/>
                <w:sz w:val="18"/>
                <w:szCs w:val="18"/>
              </w:rPr>
              <w:t xml:space="preserve"> yüksekliği gereklidir.</w:t>
            </w:r>
          </w:p>
        </w:tc>
      </w:tr>
      <w:tr w:rsidR="00265A9E" w:rsidRPr="00265A9E" w:rsidTr="00265A9E">
        <w:trPr>
          <w:trHeight w:val="151"/>
        </w:trPr>
        <w:tc>
          <w:tcPr>
            <w:tcW w:w="2547" w:type="dxa"/>
            <w:vMerge w:val="restart"/>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Papiller</w:t>
            </w:r>
            <w:proofErr w:type="spellEnd"/>
            <w:r w:rsidRPr="00265A9E">
              <w:rPr>
                <w:rFonts w:eastAsia="Calibri"/>
                <w:sz w:val="18"/>
                <w:szCs w:val="18"/>
              </w:rPr>
              <w:t xml:space="preserve"> ve </w:t>
            </w:r>
            <w:proofErr w:type="spellStart"/>
            <w:r w:rsidRPr="00265A9E">
              <w:rPr>
                <w:rFonts w:eastAsia="Calibri"/>
                <w:sz w:val="18"/>
                <w:szCs w:val="18"/>
              </w:rPr>
              <w:t>folliküler</w:t>
            </w:r>
            <w:proofErr w:type="spellEnd"/>
            <w:r w:rsidRPr="00265A9E">
              <w:rPr>
                <w:rFonts w:eastAsia="Calibri"/>
                <w:sz w:val="18"/>
                <w:szCs w:val="18"/>
              </w:rPr>
              <w:t xml:space="preserve"> tiroit kanseri</w:t>
            </w:r>
          </w:p>
        </w:tc>
        <w:tc>
          <w:tcPr>
            <w:tcW w:w="1276" w:type="dxa"/>
            <w:vMerge w:val="restart"/>
            <w:shd w:val="clear" w:color="auto" w:fill="auto"/>
          </w:tcPr>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r w:rsidRPr="00265A9E">
              <w:rPr>
                <w:rFonts w:eastAsia="Calibri"/>
                <w:sz w:val="18"/>
                <w:szCs w:val="18"/>
              </w:rPr>
              <w:t>C73</w:t>
            </w:r>
          </w:p>
        </w:tc>
        <w:tc>
          <w:tcPr>
            <w:tcW w:w="2126" w:type="dxa"/>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Evreleme</w:t>
            </w:r>
            <w:proofErr w:type="spellEnd"/>
          </w:p>
        </w:tc>
        <w:tc>
          <w:tcPr>
            <w:tcW w:w="2977"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 xml:space="preserve">I-131/I-123 tüm vücut tarama tetkiki negatif olan, F-18 FDG PET negatif olan ve serum </w:t>
            </w:r>
            <w:proofErr w:type="spellStart"/>
            <w:r w:rsidRPr="00265A9E">
              <w:rPr>
                <w:rFonts w:eastAsia="Calibri"/>
                <w:sz w:val="18"/>
                <w:szCs w:val="18"/>
              </w:rPr>
              <w:t>tiroglobulin</w:t>
            </w:r>
            <w:proofErr w:type="spellEnd"/>
            <w:r w:rsidRPr="00265A9E">
              <w:rPr>
                <w:rFonts w:eastAsia="Calibri"/>
                <w:sz w:val="18"/>
                <w:szCs w:val="18"/>
              </w:rPr>
              <w:t xml:space="preserve"> ve/veya anti- </w:t>
            </w:r>
            <w:proofErr w:type="spellStart"/>
            <w:r w:rsidRPr="00265A9E">
              <w:rPr>
                <w:rFonts w:eastAsia="Calibri"/>
                <w:sz w:val="18"/>
                <w:szCs w:val="18"/>
              </w:rPr>
              <w:t>tiroglobulin</w:t>
            </w:r>
            <w:proofErr w:type="spellEnd"/>
            <w:r w:rsidRPr="00265A9E">
              <w:rPr>
                <w:rFonts w:eastAsia="Calibri"/>
                <w:sz w:val="18"/>
                <w:szCs w:val="18"/>
              </w:rPr>
              <w:t xml:space="preserve"> düzeyi artması durumunda uygulanır</w:t>
            </w:r>
          </w:p>
        </w:tc>
      </w:tr>
      <w:tr w:rsidR="00265A9E" w:rsidRPr="00265A9E" w:rsidTr="00265A9E">
        <w:trPr>
          <w:trHeight w:val="164"/>
        </w:trPr>
        <w:tc>
          <w:tcPr>
            <w:tcW w:w="2547" w:type="dxa"/>
            <w:vMerge/>
          </w:tcPr>
          <w:p w:rsidR="00265A9E" w:rsidRPr="00265A9E" w:rsidRDefault="00265A9E" w:rsidP="001326C0">
            <w:pPr>
              <w:jc w:val="both"/>
              <w:rPr>
                <w:rFonts w:eastAsia="Calibri"/>
                <w:sz w:val="18"/>
                <w:szCs w:val="18"/>
              </w:rPr>
            </w:pPr>
          </w:p>
        </w:tc>
        <w:tc>
          <w:tcPr>
            <w:tcW w:w="1276" w:type="dxa"/>
            <w:vMerge/>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Tedaviye yanıt</w:t>
            </w:r>
          </w:p>
        </w:tc>
        <w:tc>
          <w:tcPr>
            <w:tcW w:w="2977"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 xml:space="preserve">I-131/ I-123 tüm vücut tarama tetkiki negatif olan, F-18 FDG PET negatif olan ve serum </w:t>
            </w:r>
            <w:proofErr w:type="spellStart"/>
            <w:r w:rsidRPr="00265A9E">
              <w:rPr>
                <w:rFonts w:eastAsia="Calibri"/>
                <w:sz w:val="18"/>
                <w:szCs w:val="18"/>
              </w:rPr>
              <w:t>tiroglobulin</w:t>
            </w:r>
            <w:proofErr w:type="spellEnd"/>
            <w:r w:rsidRPr="00265A9E">
              <w:rPr>
                <w:rFonts w:eastAsia="Calibri"/>
                <w:sz w:val="18"/>
                <w:szCs w:val="18"/>
              </w:rPr>
              <w:t xml:space="preserve"> ve/veya anti-</w:t>
            </w:r>
            <w:proofErr w:type="spellStart"/>
            <w:r w:rsidRPr="00265A9E">
              <w:rPr>
                <w:rFonts w:eastAsia="Calibri"/>
                <w:sz w:val="18"/>
                <w:szCs w:val="18"/>
              </w:rPr>
              <w:t>tiroglobulin</w:t>
            </w:r>
            <w:proofErr w:type="spellEnd"/>
            <w:r w:rsidRPr="00265A9E">
              <w:rPr>
                <w:rFonts w:eastAsia="Calibri"/>
                <w:sz w:val="18"/>
                <w:szCs w:val="18"/>
              </w:rPr>
              <w:t xml:space="preserve"> düzeyi artması durumunda uygulanır</w:t>
            </w:r>
          </w:p>
        </w:tc>
      </w:tr>
      <w:tr w:rsidR="00265A9E" w:rsidRPr="00265A9E" w:rsidTr="00265A9E">
        <w:trPr>
          <w:trHeight w:val="209"/>
        </w:trPr>
        <w:tc>
          <w:tcPr>
            <w:tcW w:w="2547" w:type="dxa"/>
            <w:vMerge/>
          </w:tcPr>
          <w:p w:rsidR="00265A9E" w:rsidRPr="00265A9E" w:rsidRDefault="00265A9E" w:rsidP="001326C0">
            <w:pPr>
              <w:jc w:val="both"/>
              <w:rPr>
                <w:rFonts w:eastAsia="Calibri"/>
                <w:sz w:val="18"/>
                <w:szCs w:val="18"/>
              </w:rPr>
            </w:pPr>
          </w:p>
        </w:tc>
        <w:tc>
          <w:tcPr>
            <w:tcW w:w="1276" w:type="dxa"/>
            <w:vMerge/>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 xml:space="preserve">Lu-177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w:t>
            </w:r>
            <w:proofErr w:type="spellEnd"/>
            <w:r w:rsidRPr="00265A9E">
              <w:rPr>
                <w:rFonts w:eastAsia="Calibri"/>
                <w:sz w:val="18"/>
                <w:szCs w:val="18"/>
              </w:rPr>
              <w:t xml:space="preserve"> ile (DOTA-TATE, DOTA-NOC, DOTA-TOC ve türevleri) tedavi planlaması</w:t>
            </w:r>
          </w:p>
        </w:tc>
        <w:tc>
          <w:tcPr>
            <w:tcW w:w="2977" w:type="dxa"/>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Tiroglobulin</w:t>
            </w:r>
            <w:proofErr w:type="spellEnd"/>
            <w:r w:rsidRPr="00265A9E">
              <w:rPr>
                <w:rFonts w:eastAsia="Calibri"/>
                <w:sz w:val="18"/>
                <w:szCs w:val="18"/>
              </w:rPr>
              <w:t xml:space="preserve"> yüksekliği olmalıdır</w:t>
            </w:r>
          </w:p>
        </w:tc>
      </w:tr>
      <w:tr w:rsidR="00265A9E" w:rsidRPr="00265A9E" w:rsidTr="00265A9E">
        <w:trPr>
          <w:trHeight w:val="121"/>
        </w:trPr>
        <w:tc>
          <w:tcPr>
            <w:tcW w:w="2547" w:type="dxa"/>
            <w:vMerge w:val="restart"/>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Paraganglioma</w:t>
            </w:r>
            <w:proofErr w:type="spellEnd"/>
            <w:r w:rsidRPr="00265A9E">
              <w:rPr>
                <w:rFonts w:eastAsia="Calibri"/>
                <w:sz w:val="18"/>
                <w:szCs w:val="18"/>
              </w:rPr>
              <w:t xml:space="preserve">, </w:t>
            </w:r>
            <w:proofErr w:type="spellStart"/>
            <w:r w:rsidRPr="00265A9E">
              <w:rPr>
                <w:rFonts w:eastAsia="Calibri"/>
                <w:sz w:val="18"/>
                <w:szCs w:val="18"/>
              </w:rPr>
              <w:t>Ganglionöroma</w:t>
            </w:r>
            <w:proofErr w:type="spellEnd"/>
            <w:r w:rsidRPr="00265A9E">
              <w:rPr>
                <w:rFonts w:eastAsia="Calibri"/>
                <w:sz w:val="18"/>
                <w:szCs w:val="18"/>
              </w:rPr>
              <w:t xml:space="preserve">, </w:t>
            </w:r>
            <w:proofErr w:type="spellStart"/>
            <w:r w:rsidRPr="00265A9E">
              <w:rPr>
                <w:rFonts w:eastAsia="Calibri"/>
                <w:sz w:val="18"/>
                <w:szCs w:val="18"/>
              </w:rPr>
              <w:t>Feokromasitoma</w:t>
            </w:r>
            <w:proofErr w:type="spellEnd"/>
          </w:p>
        </w:tc>
        <w:tc>
          <w:tcPr>
            <w:tcW w:w="1276" w:type="dxa"/>
            <w:vMerge w:val="restart"/>
            <w:shd w:val="clear" w:color="auto" w:fill="auto"/>
          </w:tcPr>
          <w:p w:rsidR="00265A9E" w:rsidRPr="00265A9E" w:rsidRDefault="00265A9E" w:rsidP="001326C0">
            <w:pPr>
              <w:jc w:val="both"/>
              <w:rPr>
                <w:rFonts w:eastAsia="Calibri"/>
                <w:sz w:val="18"/>
                <w:szCs w:val="18"/>
              </w:rPr>
            </w:pPr>
            <w:r w:rsidRPr="00265A9E">
              <w:rPr>
                <w:rFonts w:eastAsia="Calibri"/>
                <w:sz w:val="18"/>
                <w:szCs w:val="18"/>
              </w:rPr>
              <w:t>C74-C75</w:t>
            </w: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Tanı</w:t>
            </w:r>
          </w:p>
        </w:tc>
        <w:tc>
          <w:tcPr>
            <w:tcW w:w="2977" w:type="dxa"/>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Primer</w:t>
            </w:r>
            <w:proofErr w:type="spellEnd"/>
            <w:r w:rsidRPr="00265A9E">
              <w:rPr>
                <w:rFonts w:eastAsia="Calibri"/>
                <w:sz w:val="18"/>
                <w:szCs w:val="18"/>
              </w:rPr>
              <w:t xml:space="preserve"> odak arama için</w:t>
            </w:r>
          </w:p>
        </w:tc>
      </w:tr>
      <w:tr w:rsidR="00265A9E" w:rsidRPr="00265A9E" w:rsidTr="00265A9E">
        <w:trPr>
          <w:trHeight w:val="80"/>
        </w:trPr>
        <w:tc>
          <w:tcPr>
            <w:tcW w:w="2547" w:type="dxa"/>
            <w:vMerge/>
          </w:tcPr>
          <w:p w:rsidR="00265A9E" w:rsidRPr="00265A9E" w:rsidRDefault="00265A9E" w:rsidP="001326C0">
            <w:pPr>
              <w:jc w:val="both"/>
              <w:rPr>
                <w:rFonts w:eastAsia="Calibri"/>
                <w:sz w:val="18"/>
                <w:szCs w:val="18"/>
              </w:rPr>
            </w:pPr>
          </w:p>
        </w:tc>
        <w:tc>
          <w:tcPr>
            <w:tcW w:w="1276" w:type="dxa"/>
            <w:vMerge/>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Evreleme</w:t>
            </w:r>
            <w:proofErr w:type="spellEnd"/>
          </w:p>
        </w:tc>
        <w:tc>
          <w:tcPr>
            <w:tcW w:w="2977" w:type="dxa"/>
            <w:vMerge w:val="restart"/>
            <w:shd w:val="clear" w:color="auto" w:fill="auto"/>
          </w:tcPr>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roofErr w:type="spellStart"/>
            <w:r w:rsidRPr="00265A9E">
              <w:rPr>
                <w:rFonts w:eastAsia="Calibri"/>
                <w:sz w:val="18"/>
                <w:szCs w:val="18"/>
              </w:rPr>
              <w:t>Histopatolojik</w:t>
            </w:r>
            <w:proofErr w:type="spellEnd"/>
            <w:r w:rsidRPr="00265A9E">
              <w:rPr>
                <w:rFonts w:eastAsia="Calibri"/>
                <w:sz w:val="18"/>
                <w:szCs w:val="18"/>
              </w:rPr>
              <w:t xml:space="preserve"> olarak tanı konulan hastalar</w:t>
            </w: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tc>
      </w:tr>
      <w:tr w:rsidR="00265A9E" w:rsidRPr="00265A9E" w:rsidTr="00265A9E">
        <w:trPr>
          <w:trHeight w:val="36"/>
        </w:trPr>
        <w:tc>
          <w:tcPr>
            <w:tcW w:w="2547" w:type="dxa"/>
            <w:vMerge/>
          </w:tcPr>
          <w:p w:rsidR="00265A9E" w:rsidRPr="00265A9E" w:rsidRDefault="00265A9E" w:rsidP="001326C0">
            <w:pPr>
              <w:jc w:val="both"/>
              <w:rPr>
                <w:rFonts w:eastAsia="Calibri"/>
                <w:sz w:val="18"/>
                <w:szCs w:val="18"/>
              </w:rPr>
            </w:pPr>
          </w:p>
        </w:tc>
        <w:tc>
          <w:tcPr>
            <w:tcW w:w="1276" w:type="dxa"/>
            <w:vMerge/>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 xml:space="preserve">Yeniden </w:t>
            </w:r>
            <w:proofErr w:type="spellStart"/>
            <w:r w:rsidRPr="00265A9E">
              <w:rPr>
                <w:rFonts w:eastAsia="Calibri"/>
                <w:sz w:val="18"/>
                <w:szCs w:val="18"/>
              </w:rPr>
              <w:t>evreleme</w:t>
            </w:r>
            <w:proofErr w:type="spellEnd"/>
          </w:p>
        </w:tc>
        <w:tc>
          <w:tcPr>
            <w:tcW w:w="2977" w:type="dxa"/>
            <w:vMerge/>
            <w:shd w:val="clear" w:color="auto" w:fill="auto"/>
          </w:tcPr>
          <w:p w:rsidR="00265A9E" w:rsidRPr="00265A9E" w:rsidRDefault="00265A9E" w:rsidP="001326C0">
            <w:pPr>
              <w:jc w:val="both"/>
              <w:rPr>
                <w:rFonts w:eastAsia="Calibri"/>
                <w:sz w:val="18"/>
                <w:szCs w:val="18"/>
              </w:rPr>
            </w:pPr>
          </w:p>
        </w:tc>
      </w:tr>
      <w:tr w:rsidR="00265A9E" w:rsidRPr="00265A9E" w:rsidTr="00265A9E">
        <w:trPr>
          <w:trHeight w:val="150"/>
        </w:trPr>
        <w:tc>
          <w:tcPr>
            <w:tcW w:w="2547" w:type="dxa"/>
            <w:vMerge/>
          </w:tcPr>
          <w:p w:rsidR="00265A9E" w:rsidRPr="00265A9E" w:rsidRDefault="00265A9E" w:rsidP="001326C0">
            <w:pPr>
              <w:jc w:val="both"/>
              <w:rPr>
                <w:rFonts w:eastAsia="Calibri"/>
                <w:sz w:val="18"/>
                <w:szCs w:val="18"/>
              </w:rPr>
            </w:pPr>
          </w:p>
        </w:tc>
        <w:tc>
          <w:tcPr>
            <w:tcW w:w="1276" w:type="dxa"/>
            <w:vMerge/>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Tedaviye yanıt</w:t>
            </w:r>
          </w:p>
          <w:p w:rsidR="00265A9E" w:rsidRPr="00265A9E" w:rsidRDefault="00265A9E" w:rsidP="001326C0">
            <w:pPr>
              <w:jc w:val="both"/>
              <w:rPr>
                <w:rFonts w:eastAsia="Calibri"/>
                <w:sz w:val="18"/>
                <w:szCs w:val="18"/>
              </w:rPr>
            </w:pPr>
            <w:r w:rsidRPr="00265A9E">
              <w:rPr>
                <w:rFonts w:eastAsia="Calibri"/>
                <w:sz w:val="18"/>
                <w:szCs w:val="18"/>
              </w:rPr>
              <w:t xml:space="preserve">Lu-177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w:t>
            </w:r>
            <w:proofErr w:type="spellEnd"/>
            <w:r w:rsidRPr="00265A9E">
              <w:rPr>
                <w:rFonts w:eastAsia="Calibri"/>
                <w:sz w:val="18"/>
                <w:szCs w:val="18"/>
              </w:rPr>
              <w:t xml:space="preserve"> ile (DOTA-TATE, DOTA-NOC, DOTA-TOC ve </w:t>
            </w:r>
            <w:proofErr w:type="gramStart"/>
            <w:r w:rsidRPr="00265A9E">
              <w:rPr>
                <w:rFonts w:eastAsia="Calibri"/>
                <w:sz w:val="18"/>
                <w:szCs w:val="18"/>
              </w:rPr>
              <w:t>türevleri )</w:t>
            </w:r>
            <w:proofErr w:type="gramEnd"/>
            <w:r w:rsidRPr="00265A9E">
              <w:rPr>
                <w:rFonts w:eastAsia="Calibri"/>
                <w:sz w:val="18"/>
                <w:szCs w:val="18"/>
              </w:rPr>
              <w:t xml:space="preserve"> tedavi planlaması</w:t>
            </w:r>
          </w:p>
        </w:tc>
        <w:tc>
          <w:tcPr>
            <w:tcW w:w="2977" w:type="dxa"/>
            <w:vMerge/>
            <w:shd w:val="clear" w:color="auto" w:fill="auto"/>
          </w:tcPr>
          <w:p w:rsidR="00265A9E" w:rsidRPr="00265A9E" w:rsidRDefault="00265A9E" w:rsidP="001326C0">
            <w:pPr>
              <w:jc w:val="both"/>
              <w:rPr>
                <w:rFonts w:eastAsia="Calibri"/>
                <w:sz w:val="18"/>
                <w:szCs w:val="18"/>
              </w:rPr>
            </w:pPr>
          </w:p>
        </w:tc>
      </w:tr>
      <w:tr w:rsidR="00265A9E" w:rsidRPr="00265A9E" w:rsidTr="00265A9E">
        <w:trPr>
          <w:trHeight w:val="175"/>
        </w:trPr>
        <w:tc>
          <w:tcPr>
            <w:tcW w:w="2547" w:type="dxa"/>
            <w:vMerge w:val="restart"/>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Nöroblastoma</w:t>
            </w:r>
            <w:proofErr w:type="spellEnd"/>
          </w:p>
        </w:tc>
        <w:tc>
          <w:tcPr>
            <w:tcW w:w="1276" w:type="dxa"/>
            <w:vMerge w:val="restart"/>
            <w:shd w:val="clear" w:color="auto" w:fill="auto"/>
          </w:tcPr>
          <w:p w:rsidR="00265A9E" w:rsidRPr="00265A9E" w:rsidRDefault="00265A9E" w:rsidP="001326C0">
            <w:pPr>
              <w:jc w:val="both"/>
              <w:rPr>
                <w:rFonts w:eastAsia="Calibri"/>
                <w:sz w:val="18"/>
                <w:szCs w:val="18"/>
              </w:rPr>
            </w:pPr>
            <w:r w:rsidRPr="00265A9E">
              <w:rPr>
                <w:rFonts w:eastAsia="Calibri"/>
                <w:sz w:val="18"/>
                <w:szCs w:val="18"/>
              </w:rPr>
              <w:t>C74.9</w:t>
            </w:r>
          </w:p>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proofErr w:type="spellStart"/>
            <w:r w:rsidRPr="00265A9E">
              <w:rPr>
                <w:rFonts w:eastAsia="Calibri"/>
                <w:sz w:val="18"/>
                <w:szCs w:val="18"/>
              </w:rPr>
              <w:t>Evreleme</w:t>
            </w:r>
            <w:proofErr w:type="spellEnd"/>
          </w:p>
        </w:tc>
        <w:tc>
          <w:tcPr>
            <w:tcW w:w="2977" w:type="dxa"/>
            <w:vMerge w:val="restart"/>
            <w:shd w:val="clear" w:color="auto" w:fill="auto"/>
          </w:tcPr>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roofErr w:type="spellStart"/>
            <w:r w:rsidRPr="00265A9E">
              <w:rPr>
                <w:rFonts w:eastAsia="Calibri"/>
                <w:sz w:val="18"/>
                <w:szCs w:val="18"/>
              </w:rPr>
              <w:t>Histopatolojik</w:t>
            </w:r>
            <w:proofErr w:type="spellEnd"/>
            <w:r w:rsidRPr="00265A9E">
              <w:rPr>
                <w:rFonts w:eastAsia="Calibri"/>
                <w:sz w:val="18"/>
                <w:szCs w:val="18"/>
              </w:rPr>
              <w:t xml:space="preserve"> olarak tanı konulan hastalar</w:t>
            </w:r>
          </w:p>
        </w:tc>
      </w:tr>
      <w:tr w:rsidR="00265A9E" w:rsidRPr="00265A9E" w:rsidTr="00265A9E">
        <w:trPr>
          <w:trHeight w:val="154"/>
        </w:trPr>
        <w:tc>
          <w:tcPr>
            <w:tcW w:w="2547" w:type="dxa"/>
            <w:vMerge/>
            <w:shd w:val="clear" w:color="auto" w:fill="auto"/>
          </w:tcPr>
          <w:p w:rsidR="00265A9E" w:rsidRPr="00265A9E" w:rsidRDefault="00265A9E" w:rsidP="001326C0">
            <w:pPr>
              <w:jc w:val="both"/>
              <w:rPr>
                <w:rFonts w:eastAsia="Calibri"/>
                <w:sz w:val="18"/>
                <w:szCs w:val="18"/>
              </w:rPr>
            </w:pPr>
          </w:p>
        </w:tc>
        <w:tc>
          <w:tcPr>
            <w:tcW w:w="1276" w:type="dxa"/>
            <w:vMerge/>
            <w:shd w:val="clear" w:color="auto" w:fill="auto"/>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 xml:space="preserve">Yeniden </w:t>
            </w:r>
            <w:proofErr w:type="spellStart"/>
            <w:r w:rsidRPr="00265A9E">
              <w:rPr>
                <w:rFonts w:eastAsia="Calibri"/>
                <w:sz w:val="18"/>
                <w:szCs w:val="18"/>
              </w:rPr>
              <w:t>evreleme</w:t>
            </w:r>
            <w:proofErr w:type="spellEnd"/>
          </w:p>
        </w:tc>
        <w:tc>
          <w:tcPr>
            <w:tcW w:w="2977" w:type="dxa"/>
            <w:vMerge/>
            <w:shd w:val="clear" w:color="auto" w:fill="auto"/>
          </w:tcPr>
          <w:p w:rsidR="00265A9E" w:rsidRPr="00265A9E" w:rsidRDefault="00265A9E" w:rsidP="001326C0">
            <w:pPr>
              <w:jc w:val="both"/>
              <w:rPr>
                <w:rFonts w:eastAsia="Calibri"/>
                <w:sz w:val="18"/>
                <w:szCs w:val="18"/>
              </w:rPr>
            </w:pPr>
          </w:p>
        </w:tc>
      </w:tr>
      <w:tr w:rsidR="00265A9E" w:rsidRPr="00265A9E" w:rsidTr="00265A9E">
        <w:trPr>
          <w:trHeight w:val="200"/>
        </w:trPr>
        <w:tc>
          <w:tcPr>
            <w:tcW w:w="2547" w:type="dxa"/>
            <w:vMerge/>
            <w:shd w:val="clear" w:color="auto" w:fill="auto"/>
          </w:tcPr>
          <w:p w:rsidR="00265A9E" w:rsidRPr="00265A9E" w:rsidRDefault="00265A9E" w:rsidP="001326C0">
            <w:pPr>
              <w:jc w:val="both"/>
              <w:rPr>
                <w:rFonts w:eastAsia="Calibri"/>
                <w:sz w:val="18"/>
                <w:szCs w:val="18"/>
              </w:rPr>
            </w:pPr>
          </w:p>
        </w:tc>
        <w:tc>
          <w:tcPr>
            <w:tcW w:w="1276" w:type="dxa"/>
            <w:vMerge/>
            <w:shd w:val="clear" w:color="auto" w:fill="auto"/>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Tedaviye yanıt</w:t>
            </w:r>
          </w:p>
        </w:tc>
        <w:tc>
          <w:tcPr>
            <w:tcW w:w="2977" w:type="dxa"/>
            <w:vMerge/>
            <w:shd w:val="clear" w:color="auto" w:fill="auto"/>
          </w:tcPr>
          <w:p w:rsidR="00265A9E" w:rsidRPr="00265A9E" w:rsidRDefault="00265A9E" w:rsidP="001326C0">
            <w:pPr>
              <w:jc w:val="both"/>
              <w:rPr>
                <w:rFonts w:eastAsia="Calibri"/>
                <w:sz w:val="18"/>
                <w:szCs w:val="18"/>
              </w:rPr>
            </w:pPr>
          </w:p>
        </w:tc>
      </w:tr>
      <w:tr w:rsidR="00265A9E" w:rsidRPr="00265A9E" w:rsidTr="00265A9E">
        <w:trPr>
          <w:trHeight w:val="301"/>
        </w:trPr>
        <w:tc>
          <w:tcPr>
            <w:tcW w:w="2547" w:type="dxa"/>
            <w:vMerge/>
            <w:shd w:val="clear" w:color="auto" w:fill="auto"/>
          </w:tcPr>
          <w:p w:rsidR="00265A9E" w:rsidRPr="00265A9E" w:rsidRDefault="00265A9E" w:rsidP="001326C0">
            <w:pPr>
              <w:jc w:val="both"/>
              <w:rPr>
                <w:rFonts w:eastAsia="Calibri"/>
                <w:sz w:val="18"/>
                <w:szCs w:val="18"/>
              </w:rPr>
            </w:pPr>
          </w:p>
        </w:tc>
        <w:tc>
          <w:tcPr>
            <w:tcW w:w="1276" w:type="dxa"/>
            <w:vMerge/>
            <w:shd w:val="clear" w:color="auto" w:fill="auto"/>
          </w:tcPr>
          <w:p w:rsidR="00265A9E" w:rsidRPr="00265A9E" w:rsidRDefault="00265A9E" w:rsidP="001326C0">
            <w:pPr>
              <w:jc w:val="both"/>
              <w:rPr>
                <w:rFonts w:eastAsia="Calibri"/>
                <w:sz w:val="18"/>
                <w:szCs w:val="18"/>
              </w:rPr>
            </w:pPr>
          </w:p>
        </w:tc>
        <w:tc>
          <w:tcPr>
            <w:tcW w:w="2126" w:type="dxa"/>
            <w:shd w:val="clear" w:color="auto" w:fill="auto"/>
          </w:tcPr>
          <w:p w:rsidR="00265A9E" w:rsidRPr="00265A9E" w:rsidRDefault="00265A9E" w:rsidP="001326C0">
            <w:pPr>
              <w:jc w:val="both"/>
              <w:rPr>
                <w:rFonts w:eastAsia="Calibri"/>
                <w:sz w:val="18"/>
                <w:szCs w:val="18"/>
              </w:rPr>
            </w:pPr>
            <w:r w:rsidRPr="00265A9E">
              <w:rPr>
                <w:rFonts w:eastAsia="Calibri"/>
                <w:sz w:val="18"/>
                <w:szCs w:val="18"/>
              </w:rPr>
              <w:t xml:space="preserve">Lu-177 / Y-90 </w:t>
            </w:r>
            <w:proofErr w:type="spellStart"/>
            <w:r w:rsidRPr="00265A9E">
              <w:rPr>
                <w:rFonts w:eastAsia="Calibri"/>
                <w:sz w:val="18"/>
                <w:szCs w:val="18"/>
              </w:rPr>
              <w:t>somatostatin</w:t>
            </w:r>
            <w:proofErr w:type="spellEnd"/>
            <w:r w:rsidRPr="00265A9E">
              <w:rPr>
                <w:rFonts w:eastAsia="Calibri"/>
                <w:sz w:val="18"/>
                <w:szCs w:val="18"/>
              </w:rPr>
              <w:t xml:space="preserve"> analog </w:t>
            </w:r>
            <w:proofErr w:type="spellStart"/>
            <w:r w:rsidRPr="00265A9E">
              <w:rPr>
                <w:rFonts w:eastAsia="Calibri"/>
                <w:sz w:val="18"/>
                <w:szCs w:val="18"/>
              </w:rPr>
              <w:t>peptidler</w:t>
            </w:r>
            <w:proofErr w:type="spellEnd"/>
            <w:r w:rsidRPr="00265A9E">
              <w:rPr>
                <w:rFonts w:eastAsia="Calibri"/>
                <w:sz w:val="18"/>
                <w:szCs w:val="18"/>
              </w:rPr>
              <w:t xml:space="preserve"> ile (DOTA-TATE, DOTA-NOC, DOTA-TOC ve türevleri) tedavi planlaması</w:t>
            </w:r>
          </w:p>
        </w:tc>
        <w:tc>
          <w:tcPr>
            <w:tcW w:w="2977" w:type="dxa"/>
            <w:vMerge/>
            <w:shd w:val="clear" w:color="auto" w:fill="auto"/>
          </w:tcPr>
          <w:p w:rsidR="00265A9E" w:rsidRPr="00265A9E" w:rsidRDefault="00265A9E" w:rsidP="001326C0">
            <w:pPr>
              <w:jc w:val="both"/>
              <w:rPr>
                <w:rFonts w:eastAsia="Calibri"/>
                <w:sz w:val="18"/>
                <w:szCs w:val="18"/>
              </w:rPr>
            </w:pPr>
          </w:p>
        </w:tc>
      </w:tr>
    </w:tbl>
    <w:p w:rsidR="00265A9E" w:rsidRPr="00265A9E" w:rsidRDefault="00265A9E" w:rsidP="00265A9E">
      <w:pPr>
        <w:ind w:firstLine="708"/>
        <w:jc w:val="both"/>
        <w:rPr>
          <w:rFonts w:eastAsia="Calibri"/>
          <w:sz w:val="18"/>
          <w:szCs w:val="18"/>
        </w:rPr>
      </w:pPr>
    </w:p>
    <w:p w:rsidR="004A075D" w:rsidRPr="00265A9E" w:rsidRDefault="004A075D" w:rsidP="004A075D">
      <w:pPr>
        <w:jc w:val="center"/>
        <w:rPr>
          <w:b/>
          <w:sz w:val="18"/>
          <w:szCs w:val="18"/>
          <w:u w:val="single"/>
        </w:rPr>
      </w:pPr>
    </w:p>
    <w:p w:rsidR="00B36F44" w:rsidRPr="00265A9E" w:rsidRDefault="00B36F44" w:rsidP="00B36F44">
      <w:pPr>
        <w:rPr>
          <w:b/>
          <w:sz w:val="18"/>
          <w:szCs w:val="18"/>
        </w:rPr>
      </w:pPr>
      <w:r w:rsidRPr="00265A9E">
        <w:rPr>
          <w:b/>
          <w:sz w:val="18"/>
          <w:szCs w:val="18"/>
        </w:rPr>
        <w:t xml:space="preserve">TABLO 5. Kemik PET (F-18 </w:t>
      </w:r>
      <w:proofErr w:type="spellStart"/>
      <w:r w:rsidRPr="00265A9E">
        <w:rPr>
          <w:b/>
          <w:sz w:val="18"/>
          <w:szCs w:val="18"/>
        </w:rPr>
        <w:t>NaF</w:t>
      </w:r>
      <w:proofErr w:type="spellEnd"/>
      <w:r w:rsidRPr="00265A9E">
        <w:rPr>
          <w:b/>
          <w:sz w:val="18"/>
          <w:szCs w:val="18"/>
        </w:rPr>
        <w:t>) ENDİKASYONLARI</w:t>
      </w:r>
    </w:p>
    <w:p w:rsidR="00B36F44" w:rsidRPr="00265A9E" w:rsidRDefault="00B36F44" w:rsidP="00B36F44">
      <w:pPr>
        <w:rPr>
          <w:sz w:val="18"/>
          <w:szCs w:val="18"/>
        </w:rPr>
      </w:pPr>
      <w:r w:rsidRPr="00265A9E">
        <w:rPr>
          <w:sz w:val="18"/>
          <w:szCs w:val="18"/>
        </w:rPr>
        <w:t xml:space="preserve"> “800901 Kemik PET (F-18 </w:t>
      </w:r>
      <w:proofErr w:type="spellStart"/>
      <w:r w:rsidRPr="00265A9E">
        <w:rPr>
          <w:sz w:val="18"/>
          <w:szCs w:val="18"/>
        </w:rPr>
        <w:t>NaF</w:t>
      </w:r>
      <w:proofErr w:type="spellEnd"/>
      <w:r w:rsidRPr="00265A9E">
        <w:rPr>
          <w:sz w:val="18"/>
          <w:szCs w:val="18"/>
        </w:rPr>
        <w:t>) kodu için geçerlidir”</w:t>
      </w:r>
    </w:p>
    <w:p w:rsidR="00B36F44" w:rsidRPr="00265A9E" w:rsidRDefault="00B36F44" w:rsidP="00B36F44">
      <w:pPr>
        <w:rPr>
          <w:b/>
          <w:sz w:val="18"/>
          <w:szCs w:val="18"/>
        </w:rPr>
      </w:pPr>
    </w:p>
    <w:tbl>
      <w:tblPr>
        <w:tblW w:w="8833" w:type="dxa"/>
        <w:tblInd w:w="57" w:type="dxa"/>
        <w:tblLayout w:type="fixed"/>
        <w:tblCellMar>
          <w:top w:w="45" w:type="dxa"/>
          <w:left w:w="70" w:type="dxa"/>
          <w:bottom w:w="45" w:type="dxa"/>
          <w:right w:w="70" w:type="dxa"/>
        </w:tblCellMar>
        <w:tblLook w:val="0000" w:firstRow="0" w:lastRow="0" w:firstColumn="0" w:lastColumn="0" w:noHBand="0" w:noVBand="0"/>
      </w:tblPr>
      <w:tblGrid>
        <w:gridCol w:w="2533"/>
        <w:gridCol w:w="1260"/>
        <w:gridCol w:w="2032"/>
        <w:gridCol w:w="3008"/>
      </w:tblGrid>
      <w:tr w:rsidR="00265A9E" w:rsidRPr="00265A9E" w:rsidTr="00980FD0">
        <w:trPr>
          <w:trHeight w:val="272"/>
        </w:trPr>
        <w:tc>
          <w:tcPr>
            <w:tcW w:w="2533" w:type="dxa"/>
            <w:tcBorders>
              <w:top w:val="single" w:sz="8" w:space="0" w:color="auto"/>
              <w:left w:val="single" w:sz="8" w:space="0" w:color="auto"/>
              <w:bottom w:val="single" w:sz="4" w:space="0" w:color="000000"/>
              <w:right w:val="single" w:sz="4" w:space="0" w:color="000000"/>
            </w:tcBorders>
            <w:shd w:val="clear" w:color="auto" w:fill="E6E6E6"/>
            <w:vAlign w:val="center"/>
          </w:tcPr>
          <w:p w:rsidR="00B36F44" w:rsidRPr="00265A9E" w:rsidRDefault="00B36F44" w:rsidP="00980FD0">
            <w:pPr>
              <w:rPr>
                <w:b/>
                <w:bCs/>
                <w:sz w:val="18"/>
                <w:szCs w:val="18"/>
              </w:rPr>
            </w:pPr>
            <w:r w:rsidRPr="00265A9E">
              <w:rPr>
                <w:b/>
                <w:bCs/>
                <w:sz w:val="18"/>
                <w:szCs w:val="18"/>
              </w:rPr>
              <w:t>Klinik durum</w:t>
            </w:r>
          </w:p>
        </w:tc>
        <w:tc>
          <w:tcPr>
            <w:tcW w:w="1260" w:type="dxa"/>
            <w:tcBorders>
              <w:top w:val="single" w:sz="8" w:space="0" w:color="auto"/>
              <w:left w:val="nil"/>
              <w:bottom w:val="single" w:sz="4" w:space="0" w:color="000000"/>
              <w:right w:val="single" w:sz="4" w:space="0" w:color="000000"/>
            </w:tcBorders>
            <w:shd w:val="clear" w:color="auto" w:fill="E6E6E6"/>
            <w:vAlign w:val="center"/>
          </w:tcPr>
          <w:p w:rsidR="00B36F44" w:rsidRPr="00265A9E" w:rsidRDefault="00B36F44" w:rsidP="00980FD0">
            <w:pPr>
              <w:rPr>
                <w:b/>
                <w:bCs/>
                <w:sz w:val="18"/>
                <w:szCs w:val="18"/>
              </w:rPr>
            </w:pPr>
            <w:r w:rsidRPr="00265A9E">
              <w:rPr>
                <w:b/>
                <w:bCs/>
                <w:sz w:val="18"/>
                <w:szCs w:val="18"/>
              </w:rPr>
              <w:t>ICD 10 Kodu</w:t>
            </w:r>
          </w:p>
        </w:tc>
        <w:tc>
          <w:tcPr>
            <w:tcW w:w="2032" w:type="dxa"/>
            <w:tcBorders>
              <w:top w:val="single" w:sz="8" w:space="0" w:color="auto"/>
              <w:left w:val="nil"/>
              <w:bottom w:val="single" w:sz="4" w:space="0" w:color="000000"/>
              <w:right w:val="single" w:sz="4" w:space="0" w:color="000000"/>
            </w:tcBorders>
            <w:shd w:val="clear" w:color="auto" w:fill="E6E6E6"/>
            <w:vAlign w:val="center"/>
          </w:tcPr>
          <w:p w:rsidR="00B36F44" w:rsidRPr="00265A9E" w:rsidRDefault="00B36F44" w:rsidP="00980FD0">
            <w:pPr>
              <w:rPr>
                <w:b/>
                <w:bCs/>
                <w:sz w:val="18"/>
                <w:szCs w:val="18"/>
              </w:rPr>
            </w:pPr>
            <w:r w:rsidRPr="00265A9E">
              <w:rPr>
                <w:b/>
                <w:bCs/>
                <w:sz w:val="18"/>
                <w:szCs w:val="18"/>
              </w:rPr>
              <w:t xml:space="preserve">PET </w:t>
            </w:r>
            <w:proofErr w:type="spellStart"/>
            <w:r w:rsidRPr="00265A9E">
              <w:rPr>
                <w:b/>
                <w:bCs/>
                <w:sz w:val="18"/>
                <w:szCs w:val="18"/>
              </w:rPr>
              <w:t>endikasyonu</w:t>
            </w:r>
            <w:proofErr w:type="spellEnd"/>
          </w:p>
        </w:tc>
        <w:tc>
          <w:tcPr>
            <w:tcW w:w="3008" w:type="dxa"/>
            <w:tcBorders>
              <w:top w:val="single" w:sz="8" w:space="0" w:color="auto"/>
              <w:left w:val="nil"/>
              <w:bottom w:val="single" w:sz="4" w:space="0" w:color="000000"/>
              <w:right w:val="single" w:sz="8" w:space="0" w:color="auto"/>
            </w:tcBorders>
            <w:shd w:val="clear" w:color="auto" w:fill="E6E6E6"/>
            <w:vAlign w:val="center"/>
          </w:tcPr>
          <w:p w:rsidR="00B36F44" w:rsidRPr="00265A9E" w:rsidRDefault="00B36F44" w:rsidP="00980FD0">
            <w:pPr>
              <w:rPr>
                <w:b/>
                <w:bCs/>
                <w:sz w:val="18"/>
                <w:szCs w:val="18"/>
              </w:rPr>
            </w:pPr>
            <w:r w:rsidRPr="00265A9E">
              <w:rPr>
                <w:b/>
                <w:bCs/>
                <w:sz w:val="18"/>
                <w:szCs w:val="18"/>
              </w:rPr>
              <w:t>Açıklama ve sınırlamalar</w:t>
            </w:r>
          </w:p>
        </w:tc>
      </w:tr>
      <w:tr w:rsidR="00B36F44" w:rsidRPr="00265A9E" w:rsidTr="00980FD0">
        <w:trPr>
          <w:trHeight w:val="1540"/>
        </w:trPr>
        <w:tc>
          <w:tcPr>
            <w:tcW w:w="2533" w:type="dxa"/>
            <w:tcBorders>
              <w:top w:val="nil"/>
              <w:left w:val="single" w:sz="8" w:space="0" w:color="auto"/>
              <w:bottom w:val="single" w:sz="8" w:space="0" w:color="000000"/>
              <w:right w:val="single" w:sz="4" w:space="0" w:color="000000"/>
            </w:tcBorders>
            <w:vAlign w:val="center"/>
          </w:tcPr>
          <w:p w:rsidR="00B36F44" w:rsidRPr="00265A9E" w:rsidRDefault="00B36F44" w:rsidP="00980FD0">
            <w:pPr>
              <w:rPr>
                <w:b/>
                <w:bCs/>
                <w:sz w:val="18"/>
                <w:szCs w:val="18"/>
              </w:rPr>
            </w:pPr>
            <w:r w:rsidRPr="00265A9E">
              <w:rPr>
                <w:b/>
                <w:bCs/>
                <w:sz w:val="18"/>
                <w:szCs w:val="18"/>
              </w:rPr>
              <w:t>Kesin Tanı almış Onkolojik Hastalar</w:t>
            </w:r>
          </w:p>
        </w:tc>
        <w:tc>
          <w:tcPr>
            <w:tcW w:w="1260" w:type="dxa"/>
            <w:tcBorders>
              <w:top w:val="nil"/>
              <w:left w:val="single" w:sz="4" w:space="0" w:color="000000"/>
              <w:bottom w:val="single" w:sz="8" w:space="0" w:color="000000"/>
              <w:right w:val="single" w:sz="4" w:space="0" w:color="000000"/>
            </w:tcBorders>
            <w:vAlign w:val="center"/>
          </w:tcPr>
          <w:p w:rsidR="00B36F44" w:rsidRPr="00265A9E" w:rsidRDefault="00B36F44" w:rsidP="00980FD0">
            <w:pPr>
              <w:rPr>
                <w:b/>
                <w:bCs/>
                <w:sz w:val="18"/>
                <w:szCs w:val="18"/>
              </w:rPr>
            </w:pPr>
            <w:r w:rsidRPr="00265A9E">
              <w:rPr>
                <w:b/>
                <w:bCs/>
                <w:sz w:val="18"/>
                <w:szCs w:val="18"/>
              </w:rPr>
              <w:t>C00-D48</w:t>
            </w:r>
          </w:p>
        </w:tc>
        <w:tc>
          <w:tcPr>
            <w:tcW w:w="2032" w:type="dxa"/>
            <w:tcBorders>
              <w:top w:val="single" w:sz="4" w:space="0" w:color="000000"/>
              <w:left w:val="nil"/>
              <w:bottom w:val="single" w:sz="4" w:space="0" w:color="auto"/>
              <w:right w:val="single" w:sz="4" w:space="0" w:color="000000"/>
            </w:tcBorders>
            <w:vAlign w:val="center"/>
          </w:tcPr>
          <w:p w:rsidR="00B36F44" w:rsidRPr="00265A9E" w:rsidRDefault="00B36F44" w:rsidP="00980FD0">
            <w:pPr>
              <w:rPr>
                <w:sz w:val="18"/>
                <w:szCs w:val="18"/>
              </w:rPr>
            </w:pPr>
            <w:r w:rsidRPr="00265A9E">
              <w:rPr>
                <w:sz w:val="18"/>
                <w:szCs w:val="18"/>
              </w:rPr>
              <w:t>Tanı</w:t>
            </w:r>
          </w:p>
        </w:tc>
        <w:tc>
          <w:tcPr>
            <w:tcW w:w="3008" w:type="dxa"/>
            <w:tcBorders>
              <w:top w:val="nil"/>
              <w:left w:val="single" w:sz="4" w:space="0" w:color="000000"/>
              <w:bottom w:val="single" w:sz="8" w:space="0" w:color="000000"/>
              <w:right w:val="single" w:sz="8" w:space="0" w:color="auto"/>
            </w:tcBorders>
            <w:vAlign w:val="center"/>
          </w:tcPr>
          <w:p w:rsidR="00B36F44" w:rsidRPr="00265A9E" w:rsidRDefault="00B36F44" w:rsidP="00980FD0">
            <w:pPr>
              <w:rPr>
                <w:sz w:val="18"/>
                <w:szCs w:val="18"/>
              </w:rPr>
            </w:pPr>
            <w:r w:rsidRPr="00265A9E">
              <w:rPr>
                <w:sz w:val="18"/>
                <w:szCs w:val="18"/>
              </w:rPr>
              <w:t xml:space="preserve">Kemik Sintigrafisi ile kemik metastazı açısından karar verilemeyen, klinik ve radyolojik olarak şüphenin devam ettiği durumlarda, en az biri nükleer tıp uzmanı ve ilgili </w:t>
            </w:r>
            <w:proofErr w:type="spellStart"/>
            <w:r w:rsidRPr="00265A9E">
              <w:rPr>
                <w:sz w:val="18"/>
                <w:szCs w:val="18"/>
              </w:rPr>
              <w:t>klinisyen</w:t>
            </w:r>
            <w:proofErr w:type="spellEnd"/>
            <w:r w:rsidRPr="00265A9E">
              <w:rPr>
                <w:sz w:val="18"/>
                <w:szCs w:val="18"/>
              </w:rPr>
              <w:t xml:space="preserve"> olmak üzere en az 3 hekim tarafından hazırlanan sağlık raporu olması şartı aranır</w:t>
            </w:r>
          </w:p>
        </w:tc>
      </w:tr>
    </w:tbl>
    <w:p w:rsidR="00B36F44" w:rsidRPr="00265A9E" w:rsidRDefault="00B36F44" w:rsidP="00B36F44">
      <w:pPr>
        <w:jc w:val="both"/>
        <w:rPr>
          <w:b/>
          <w:sz w:val="18"/>
          <w:szCs w:val="18"/>
        </w:rPr>
      </w:pPr>
    </w:p>
    <w:p w:rsidR="00265A9E" w:rsidRPr="00265A9E" w:rsidRDefault="00265A9E" w:rsidP="00265A9E">
      <w:pPr>
        <w:rPr>
          <w:rFonts w:eastAsia="Calibri"/>
          <w:sz w:val="18"/>
          <w:szCs w:val="18"/>
        </w:rPr>
      </w:pPr>
      <w:r w:rsidRPr="00265A9E">
        <w:rPr>
          <w:rFonts w:eastAsia="Calibri"/>
          <w:b/>
          <w:sz w:val="18"/>
          <w:szCs w:val="18"/>
        </w:rPr>
        <w:t>TABLO 6. ONKOLOJİK PET (</w:t>
      </w:r>
      <w:proofErr w:type="spellStart"/>
      <w:r w:rsidRPr="00265A9E">
        <w:rPr>
          <w:rFonts w:eastAsia="Calibri"/>
          <w:b/>
          <w:sz w:val="18"/>
          <w:szCs w:val="18"/>
        </w:rPr>
        <w:t>Ga</w:t>
      </w:r>
      <w:proofErr w:type="spellEnd"/>
      <w:r w:rsidRPr="00265A9E">
        <w:rPr>
          <w:rFonts w:eastAsia="Calibri"/>
          <w:b/>
          <w:sz w:val="18"/>
          <w:szCs w:val="18"/>
        </w:rPr>
        <w:t xml:space="preserve"> 68 işaretli PSMA ile) ENDİKASYONLARI</w:t>
      </w:r>
    </w:p>
    <w:p w:rsidR="00265A9E" w:rsidRPr="00265A9E" w:rsidRDefault="00265A9E" w:rsidP="00265A9E">
      <w:pPr>
        <w:jc w:val="both"/>
        <w:rPr>
          <w:rFonts w:eastAsia="Calibri"/>
          <w:sz w:val="18"/>
          <w:szCs w:val="18"/>
        </w:rPr>
      </w:pPr>
      <w:r w:rsidRPr="00265A9E">
        <w:rPr>
          <w:rFonts w:eastAsia="Calibri"/>
          <w:sz w:val="18"/>
          <w:szCs w:val="18"/>
        </w:rPr>
        <w:t>Bu bölüm pozitron yayıcı radyoizotoplar kullanılarak PET, kombine PET/BT veya kombine PET/MR tarayıcı kameralarda yapılan tanısal görüntüleme işlemlerini kapsar. 801365 kodlu (</w:t>
      </w:r>
      <w:proofErr w:type="spellStart"/>
      <w:r w:rsidRPr="00265A9E">
        <w:rPr>
          <w:rFonts w:eastAsia="Calibri"/>
          <w:sz w:val="18"/>
          <w:szCs w:val="18"/>
        </w:rPr>
        <w:t>Ga</w:t>
      </w:r>
      <w:proofErr w:type="spellEnd"/>
      <w:r w:rsidRPr="00265A9E">
        <w:rPr>
          <w:rFonts w:eastAsia="Calibri"/>
          <w:sz w:val="18"/>
          <w:szCs w:val="18"/>
        </w:rPr>
        <w:t xml:space="preserve"> 68 işaretli PSMA ile) yapılan PET görüntüleme tetkikleri için geçerlidir.</w:t>
      </w:r>
    </w:p>
    <w:tbl>
      <w:tblPr>
        <w:tblpPr w:leftFromText="141" w:rightFromText="141" w:vertAnchor="text" w:tblpY="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2409"/>
        <w:gridCol w:w="4395"/>
      </w:tblGrid>
      <w:tr w:rsidR="00265A9E" w:rsidRPr="00265A9E" w:rsidTr="00265A9E">
        <w:trPr>
          <w:trHeight w:val="286"/>
        </w:trPr>
        <w:tc>
          <w:tcPr>
            <w:tcW w:w="1271" w:type="dxa"/>
          </w:tcPr>
          <w:p w:rsidR="00265A9E" w:rsidRPr="00265A9E" w:rsidRDefault="00265A9E" w:rsidP="001326C0">
            <w:pPr>
              <w:jc w:val="both"/>
              <w:rPr>
                <w:rFonts w:eastAsia="Calibri"/>
                <w:b/>
                <w:sz w:val="18"/>
                <w:szCs w:val="18"/>
              </w:rPr>
            </w:pPr>
            <w:r w:rsidRPr="00265A9E">
              <w:rPr>
                <w:rFonts w:eastAsia="Calibri"/>
                <w:b/>
                <w:sz w:val="18"/>
                <w:szCs w:val="18"/>
              </w:rPr>
              <w:t xml:space="preserve">Klinik </w:t>
            </w:r>
          </w:p>
          <w:p w:rsidR="00265A9E" w:rsidRPr="00265A9E" w:rsidRDefault="00265A9E" w:rsidP="001326C0">
            <w:pPr>
              <w:jc w:val="both"/>
              <w:rPr>
                <w:rFonts w:eastAsia="Calibri"/>
                <w:b/>
                <w:sz w:val="18"/>
                <w:szCs w:val="18"/>
              </w:rPr>
            </w:pPr>
            <w:r w:rsidRPr="00265A9E">
              <w:rPr>
                <w:rFonts w:eastAsia="Calibri"/>
                <w:b/>
                <w:sz w:val="18"/>
                <w:szCs w:val="18"/>
              </w:rPr>
              <w:t>Durum</w:t>
            </w:r>
          </w:p>
        </w:tc>
        <w:tc>
          <w:tcPr>
            <w:tcW w:w="851" w:type="dxa"/>
          </w:tcPr>
          <w:p w:rsidR="00265A9E" w:rsidRPr="00265A9E" w:rsidRDefault="00265A9E" w:rsidP="001326C0">
            <w:pPr>
              <w:jc w:val="both"/>
              <w:rPr>
                <w:rFonts w:eastAsia="Calibri"/>
                <w:b/>
                <w:sz w:val="18"/>
                <w:szCs w:val="18"/>
              </w:rPr>
            </w:pPr>
            <w:r w:rsidRPr="00265A9E">
              <w:rPr>
                <w:rFonts w:eastAsia="Calibri"/>
                <w:b/>
                <w:sz w:val="18"/>
                <w:szCs w:val="18"/>
              </w:rPr>
              <w:t>ICD-10 kodu</w:t>
            </w:r>
          </w:p>
        </w:tc>
        <w:tc>
          <w:tcPr>
            <w:tcW w:w="2409" w:type="dxa"/>
          </w:tcPr>
          <w:p w:rsidR="00265A9E" w:rsidRPr="00265A9E" w:rsidRDefault="00265A9E" w:rsidP="001326C0">
            <w:pPr>
              <w:jc w:val="both"/>
              <w:rPr>
                <w:rFonts w:eastAsia="Calibri"/>
                <w:b/>
                <w:sz w:val="18"/>
                <w:szCs w:val="18"/>
              </w:rPr>
            </w:pPr>
            <w:r w:rsidRPr="00265A9E">
              <w:rPr>
                <w:rFonts w:eastAsia="Calibri"/>
                <w:b/>
                <w:sz w:val="18"/>
                <w:szCs w:val="18"/>
              </w:rPr>
              <w:t xml:space="preserve">PET </w:t>
            </w:r>
            <w:proofErr w:type="spellStart"/>
            <w:r w:rsidRPr="00265A9E">
              <w:rPr>
                <w:rFonts w:eastAsia="Calibri"/>
                <w:b/>
                <w:sz w:val="18"/>
                <w:szCs w:val="18"/>
              </w:rPr>
              <w:t>Endikasyonları</w:t>
            </w:r>
            <w:proofErr w:type="spellEnd"/>
          </w:p>
        </w:tc>
        <w:tc>
          <w:tcPr>
            <w:tcW w:w="4395" w:type="dxa"/>
          </w:tcPr>
          <w:p w:rsidR="00265A9E" w:rsidRPr="00265A9E" w:rsidRDefault="00265A9E" w:rsidP="001326C0">
            <w:pPr>
              <w:jc w:val="both"/>
              <w:rPr>
                <w:rFonts w:eastAsia="Calibri"/>
                <w:b/>
                <w:sz w:val="18"/>
                <w:szCs w:val="18"/>
              </w:rPr>
            </w:pPr>
            <w:r w:rsidRPr="00265A9E">
              <w:rPr>
                <w:rFonts w:eastAsia="Calibri"/>
                <w:b/>
                <w:sz w:val="18"/>
                <w:szCs w:val="18"/>
              </w:rPr>
              <w:t>Açıklama ve Sınırlamalar</w:t>
            </w:r>
          </w:p>
        </w:tc>
      </w:tr>
      <w:tr w:rsidR="00265A9E" w:rsidRPr="00265A9E" w:rsidTr="00265A9E">
        <w:trPr>
          <w:trHeight w:val="844"/>
        </w:trPr>
        <w:tc>
          <w:tcPr>
            <w:tcW w:w="1271" w:type="dxa"/>
            <w:vMerge w:val="restart"/>
            <w:vAlign w:val="center"/>
          </w:tcPr>
          <w:p w:rsidR="00265A9E" w:rsidRPr="00265A9E" w:rsidRDefault="00265A9E" w:rsidP="001326C0">
            <w:pPr>
              <w:jc w:val="both"/>
              <w:rPr>
                <w:rFonts w:eastAsia="Calibri"/>
                <w:sz w:val="18"/>
                <w:szCs w:val="18"/>
              </w:rPr>
            </w:pPr>
            <w:r w:rsidRPr="00265A9E">
              <w:rPr>
                <w:rFonts w:eastAsia="Calibri"/>
                <w:sz w:val="18"/>
                <w:szCs w:val="18"/>
              </w:rPr>
              <w:t>Prostat Kanseri</w:t>
            </w: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tc>
        <w:tc>
          <w:tcPr>
            <w:tcW w:w="851" w:type="dxa"/>
            <w:vMerge w:val="restart"/>
          </w:tcPr>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r w:rsidRPr="00265A9E">
              <w:rPr>
                <w:rFonts w:eastAsia="Calibri"/>
                <w:sz w:val="18"/>
                <w:szCs w:val="18"/>
              </w:rPr>
              <w:t>C61</w:t>
            </w:r>
          </w:p>
        </w:tc>
        <w:tc>
          <w:tcPr>
            <w:tcW w:w="2409" w:type="dxa"/>
          </w:tcPr>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roofErr w:type="spellStart"/>
            <w:r w:rsidRPr="00265A9E">
              <w:rPr>
                <w:rFonts w:eastAsia="Calibri"/>
                <w:sz w:val="18"/>
                <w:szCs w:val="18"/>
              </w:rPr>
              <w:t>Evreleme</w:t>
            </w:r>
            <w:proofErr w:type="spellEnd"/>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tc>
        <w:tc>
          <w:tcPr>
            <w:tcW w:w="4395" w:type="dxa"/>
          </w:tcPr>
          <w:p w:rsidR="00265A9E" w:rsidRPr="00265A9E" w:rsidRDefault="00265A9E" w:rsidP="001326C0">
            <w:pPr>
              <w:jc w:val="both"/>
              <w:rPr>
                <w:rFonts w:eastAsia="Calibri"/>
                <w:sz w:val="18"/>
                <w:szCs w:val="18"/>
              </w:rPr>
            </w:pPr>
            <w:r w:rsidRPr="00265A9E">
              <w:rPr>
                <w:rFonts w:eastAsia="Calibri"/>
                <w:sz w:val="18"/>
                <w:szCs w:val="18"/>
              </w:rPr>
              <w:t>Yüksek risk grubundaki hastalarda (</w:t>
            </w:r>
            <w:proofErr w:type="spellStart"/>
            <w:r w:rsidRPr="00265A9E">
              <w:rPr>
                <w:rFonts w:eastAsia="Calibri"/>
                <w:sz w:val="18"/>
                <w:szCs w:val="18"/>
              </w:rPr>
              <w:t>Gleason</w:t>
            </w:r>
            <w:proofErr w:type="spellEnd"/>
            <w:r w:rsidRPr="00265A9E">
              <w:rPr>
                <w:rFonts w:eastAsia="Calibri"/>
                <w:sz w:val="18"/>
                <w:szCs w:val="18"/>
              </w:rPr>
              <w:t xml:space="preserve"> skoru &gt;7 ve/veya </w:t>
            </w:r>
            <w:proofErr w:type="gramStart"/>
            <w:r w:rsidRPr="00265A9E">
              <w:rPr>
                <w:rFonts w:eastAsia="Calibri"/>
                <w:sz w:val="18"/>
                <w:szCs w:val="18"/>
              </w:rPr>
              <w:t>PSA &gt;</w:t>
            </w:r>
            <w:proofErr w:type="gramEnd"/>
            <w:r w:rsidRPr="00265A9E">
              <w:rPr>
                <w:rFonts w:eastAsia="Calibri"/>
                <w:sz w:val="18"/>
                <w:szCs w:val="18"/>
              </w:rPr>
              <w:t xml:space="preserve"> 20 </w:t>
            </w:r>
            <w:proofErr w:type="spellStart"/>
            <w:r w:rsidRPr="00265A9E">
              <w:rPr>
                <w:rFonts w:eastAsia="Calibri"/>
                <w:sz w:val="18"/>
                <w:szCs w:val="18"/>
              </w:rPr>
              <w:t>ng</w:t>
            </w:r>
            <w:proofErr w:type="spellEnd"/>
            <w:r w:rsidRPr="00265A9E">
              <w:rPr>
                <w:rFonts w:eastAsia="Calibri"/>
                <w:sz w:val="18"/>
                <w:szCs w:val="18"/>
              </w:rPr>
              <w:t>/</w:t>
            </w:r>
            <w:proofErr w:type="spellStart"/>
            <w:r w:rsidRPr="00265A9E">
              <w:rPr>
                <w:rFonts w:eastAsia="Calibri"/>
                <w:sz w:val="18"/>
                <w:szCs w:val="18"/>
              </w:rPr>
              <w:t>mL</w:t>
            </w:r>
            <w:proofErr w:type="spellEnd"/>
            <w:r w:rsidRPr="00265A9E">
              <w:rPr>
                <w:rFonts w:eastAsia="Calibri"/>
                <w:sz w:val="18"/>
                <w:szCs w:val="18"/>
              </w:rPr>
              <w:t>) ve orta risk grubundaki hastalarda (</w:t>
            </w:r>
            <w:proofErr w:type="spellStart"/>
            <w:r w:rsidRPr="00265A9E">
              <w:rPr>
                <w:rFonts w:eastAsia="Calibri"/>
                <w:sz w:val="18"/>
                <w:szCs w:val="18"/>
              </w:rPr>
              <w:t>Gleason</w:t>
            </w:r>
            <w:proofErr w:type="spellEnd"/>
            <w:r w:rsidRPr="00265A9E">
              <w:rPr>
                <w:rFonts w:eastAsia="Calibri"/>
                <w:sz w:val="18"/>
                <w:szCs w:val="18"/>
              </w:rPr>
              <w:t xml:space="preserve"> skor 7 ve/veya PSA &gt; 10 </w:t>
            </w:r>
            <w:proofErr w:type="spellStart"/>
            <w:r w:rsidRPr="00265A9E">
              <w:rPr>
                <w:rFonts w:eastAsia="Calibri"/>
                <w:sz w:val="18"/>
                <w:szCs w:val="18"/>
              </w:rPr>
              <w:t>ng</w:t>
            </w:r>
            <w:proofErr w:type="spellEnd"/>
            <w:r w:rsidRPr="00265A9E">
              <w:rPr>
                <w:rFonts w:eastAsia="Calibri"/>
                <w:sz w:val="18"/>
                <w:szCs w:val="18"/>
              </w:rPr>
              <w:t>/</w:t>
            </w:r>
            <w:proofErr w:type="spellStart"/>
            <w:r w:rsidRPr="00265A9E">
              <w:rPr>
                <w:rFonts w:eastAsia="Calibri"/>
                <w:sz w:val="18"/>
                <w:szCs w:val="18"/>
              </w:rPr>
              <w:t>mL</w:t>
            </w:r>
            <w:proofErr w:type="spellEnd"/>
            <w:r w:rsidRPr="00265A9E">
              <w:rPr>
                <w:rFonts w:eastAsia="Calibri"/>
                <w:sz w:val="18"/>
                <w:szCs w:val="18"/>
              </w:rPr>
              <w:t xml:space="preserve">)  </w:t>
            </w:r>
            <w:proofErr w:type="spellStart"/>
            <w:r w:rsidRPr="00265A9E">
              <w:rPr>
                <w:rFonts w:eastAsia="Calibri"/>
                <w:sz w:val="18"/>
                <w:szCs w:val="18"/>
              </w:rPr>
              <w:t>evrelemede</w:t>
            </w:r>
            <w:proofErr w:type="spellEnd"/>
            <w:r w:rsidRPr="00265A9E">
              <w:rPr>
                <w:rFonts w:eastAsia="Calibri"/>
                <w:sz w:val="18"/>
                <w:szCs w:val="18"/>
              </w:rPr>
              <w:t xml:space="preserve"> yapılabilir. Sadece üçüncü basamak resmi sağlık hizmet sunucuları tarafından faturalandırılır.</w:t>
            </w:r>
          </w:p>
        </w:tc>
      </w:tr>
      <w:tr w:rsidR="00265A9E" w:rsidRPr="00265A9E" w:rsidTr="00265A9E">
        <w:trPr>
          <w:trHeight w:val="1119"/>
        </w:trPr>
        <w:tc>
          <w:tcPr>
            <w:tcW w:w="1271" w:type="dxa"/>
            <w:vMerge/>
          </w:tcPr>
          <w:p w:rsidR="00265A9E" w:rsidRPr="00265A9E" w:rsidRDefault="00265A9E" w:rsidP="001326C0">
            <w:pPr>
              <w:jc w:val="both"/>
              <w:rPr>
                <w:rFonts w:eastAsia="Calibri"/>
                <w:sz w:val="18"/>
                <w:szCs w:val="18"/>
              </w:rPr>
            </w:pPr>
          </w:p>
        </w:tc>
        <w:tc>
          <w:tcPr>
            <w:tcW w:w="851" w:type="dxa"/>
            <w:vMerge/>
          </w:tcPr>
          <w:p w:rsidR="00265A9E" w:rsidRPr="00265A9E" w:rsidRDefault="00265A9E" w:rsidP="001326C0">
            <w:pPr>
              <w:jc w:val="both"/>
              <w:rPr>
                <w:rFonts w:eastAsia="Calibri"/>
                <w:sz w:val="18"/>
                <w:szCs w:val="18"/>
              </w:rPr>
            </w:pPr>
          </w:p>
        </w:tc>
        <w:tc>
          <w:tcPr>
            <w:tcW w:w="2409" w:type="dxa"/>
          </w:tcPr>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r w:rsidRPr="00265A9E">
              <w:rPr>
                <w:rFonts w:eastAsia="Calibri"/>
                <w:sz w:val="18"/>
                <w:szCs w:val="18"/>
              </w:rPr>
              <w:t xml:space="preserve">Yeniden </w:t>
            </w:r>
            <w:proofErr w:type="spellStart"/>
            <w:r w:rsidRPr="00265A9E">
              <w:rPr>
                <w:rFonts w:eastAsia="Calibri"/>
                <w:sz w:val="18"/>
                <w:szCs w:val="18"/>
              </w:rPr>
              <w:t>evreleme</w:t>
            </w:r>
            <w:proofErr w:type="spellEnd"/>
          </w:p>
        </w:tc>
        <w:tc>
          <w:tcPr>
            <w:tcW w:w="4395" w:type="dxa"/>
          </w:tcPr>
          <w:p w:rsidR="00265A9E" w:rsidRPr="00265A9E" w:rsidRDefault="00265A9E" w:rsidP="001326C0">
            <w:pPr>
              <w:shd w:val="clear" w:color="auto" w:fill="FFFFFF"/>
              <w:jc w:val="both"/>
              <w:rPr>
                <w:rFonts w:eastAsia="Calibri"/>
                <w:sz w:val="18"/>
                <w:szCs w:val="18"/>
              </w:rPr>
            </w:pPr>
            <w:r w:rsidRPr="00265A9E">
              <w:rPr>
                <w:rFonts w:eastAsia="Calibri"/>
                <w:sz w:val="18"/>
                <w:szCs w:val="18"/>
              </w:rPr>
              <w:t xml:space="preserve">Lokal </w:t>
            </w:r>
            <w:proofErr w:type="spellStart"/>
            <w:r w:rsidRPr="00265A9E">
              <w:rPr>
                <w:rFonts w:eastAsia="Calibri"/>
                <w:sz w:val="18"/>
                <w:szCs w:val="18"/>
              </w:rPr>
              <w:t>definitif</w:t>
            </w:r>
            <w:proofErr w:type="spellEnd"/>
            <w:r w:rsidRPr="00265A9E">
              <w:rPr>
                <w:rFonts w:eastAsia="Calibri"/>
                <w:sz w:val="18"/>
                <w:szCs w:val="18"/>
              </w:rPr>
              <w:t xml:space="preserve"> tedaviler sonrası biyokimyasal </w:t>
            </w:r>
            <w:proofErr w:type="spellStart"/>
            <w:r w:rsidRPr="00265A9E">
              <w:rPr>
                <w:rFonts w:eastAsia="Calibri"/>
                <w:sz w:val="18"/>
                <w:szCs w:val="18"/>
              </w:rPr>
              <w:t>rekürrens</w:t>
            </w:r>
            <w:proofErr w:type="spellEnd"/>
            <w:r w:rsidRPr="00265A9E">
              <w:rPr>
                <w:rFonts w:eastAsia="Calibri"/>
                <w:sz w:val="18"/>
                <w:szCs w:val="18"/>
              </w:rPr>
              <w:t xml:space="preserve"> gözlenmesi ve ardışık ölçümlerde PSA yükselmesinin devam etmesi durumunda ve/veya diğer görüntüleme yöntemlerinde (kemik sintigrafisi, BT veya MR görüntüleme) şüpheli lezyon bulunması durumunda yapılabilir. Sadece üçüncü basamak resmi sağlık hizmet sunucuları tarafından faturalandırılır.</w:t>
            </w:r>
          </w:p>
        </w:tc>
      </w:tr>
      <w:tr w:rsidR="00265A9E" w:rsidRPr="00265A9E" w:rsidTr="00265A9E">
        <w:trPr>
          <w:trHeight w:val="710"/>
        </w:trPr>
        <w:tc>
          <w:tcPr>
            <w:tcW w:w="1271" w:type="dxa"/>
            <w:vMerge/>
          </w:tcPr>
          <w:p w:rsidR="00265A9E" w:rsidRPr="00265A9E" w:rsidRDefault="00265A9E" w:rsidP="001326C0">
            <w:pPr>
              <w:jc w:val="both"/>
              <w:rPr>
                <w:rFonts w:eastAsia="Calibri"/>
                <w:sz w:val="18"/>
                <w:szCs w:val="18"/>
              </w:rPr>
            </w:pPr>
          </w:p>
        </w:tc>
        <w:tc>
          <w:tcPr>
            <w:tcW w:w="851" w:type="dxa"/>
            <w:vMerge/>
          </w:tcPr>
          <w:p w:rsidR="00265A9E" w:rsidRPr="00265A9E" w:rsidRDefault="00265A9E" w:rsidP="001326C0">
            <w:pPr>
              <w:jc w:val="both"/>
              <w:rPr>
                <w:rFonts w:eastAsia="Calibri"/>
                <w:sz w:val="18"/>
                <w:szCs w:val="18"/>
              </w:rPr>
            </w:pPr>
          </w:p>
        </w:tc>
        <w:tc>
          <w:tcPr>
            <w:tcW w:w="2409" w:type="dxa"/>
          </w:tcPr>
          <w:p w:rsidR="00265A9E" w:rsidRPr="00265A9E" w:rsidRDefault="00265A9E" w:rsidP="001326C0">
            <w:pPr>
              <w:jc w:val="both"/>
              <w:rPr>
                <w:rFonts w:eastAsia="Calibri"/>
                <w:sz w:val="18"/>
                <w:szCs w:val="18"/>
              </w:rPr>
            </w:pPr>
          </w:p>
          <w:p w:rsidR="00265A9E" w:rsidRPr="00265A9E" w:rsidRDefault="00265A9E" w:rsidP="001326C0">
            <w:pPr>
              <w:jc w:val="both"/>
              <w:rPr>
                <w:rFonts w:eastAsia="Calibri"/>
                <w:sz w:val="18"/>
                <w:szCs w:val="18"/>
              </w:rPr>
            </w:pPr>
            <w:r w:rsidRPr="00265A9E">
              <w:rPr>
                <w:rFonts w:eastAsia="Calibri"/>
                <w:sz w:val="18"/>
                <w:szCs w:val="18"/>
              </w:rPr>
              <w:t>Tedaviye yanıt</w:t>
            </w:r>
          </w:p>
        </w:tc>
        <w:tc>
          <w:tcPr>
            <w:tcW w:w="4395" w:type="dxa"/>
          </w:tcPr>
          <w:p w:rsidR="00265A9E" w:rsidRPr="00265A9E" w:rsidRDefault="00265A9E" w:rsidP="001326C0">
            <w:pPr>
              <w:shd w:val="clear" w:color="auto" w:fill="FFFFFF"/>
              <w:jc w:val="both"/>
              <w:rPr>
                <w:rFonts w:eastAsia="Calibri"/>
                <w:sz w:val="18"/>
                <w:szCs w:val="18"/>
              </w:rPr>
            </w:pPr>
            <w:proofErr w:type="spellStart"/>
            <w:r w:rsidRPr="00265A9E">
              <w:rPr>
                <w:rFonts w:eastAsia="Calibri"/>
                <w:sz w:val="18"/>
                <w:szCs w:val="18"/>
              </w:rPr>
              <w:t>Gleason</w:t>
            </w:r>
            <w:proofErr w:type="spellEnd"/>
            <w:r w:rsidRPr="00265A9E">
              <w:rPr>
                <w:rFonts w:eastAsia="Calibri"/>
                <w:sz w:val="18"/>
                <w:szCs w:val="18"/>
              </w:rPr>
              <w:t xml:space="preserve"> skoru 7 ve üstünde olan hastalarda lokal ve sistemik tedaviler sonrasında yanıt değerlendirme amaçlı kullanılabilir. Sadece üçüncü basamak resmi sağlık hizmet sunucuları </w:t>
            </w:r>
            <w:proofErr w:type="gramStart"/>
            <w:r w:rsidRPr="00265A9E">
              <w:rPr>
                <w:rFonts w:eastAsia="Calibri"/>
                <w:sz w:val="18"/>
                <w:szCs w:val="18"/>
              </w:rPr>
              <w:t>tarafından  faturalandırılır</w:t>
            </w:r>
            <w:proofErr w:type="gramEnd"/>
            <w:r w:rsidRPr="00265A9E">
              <w:rPr>
                <w:rFonts w:eastAsia="Calibri"/>
                <w:sz w:val="18"/>
                <w:szCs w:val="18"/>
              </w:rPr>
              <w:t>.</w:t>
            </w:r>
          </w:p>
        </w:tc>
      </w:tr>
      <w:tr w:rsidR="00265A9E" w:rsidRPr="00265A9E" w:rsidTr="00265A9E">
        <w:trPr>
          <w:trHeight w:val="1118"/>
        </w:trPr>
        <w:tc>
          <w:tcPr>
            <w:tcW w:w="1271" w:type="dxa"/>
          </w:tcPr>
          <w:p w:rsidR="00265A9E" w:rsidRPr="00265A9E" w:rsidRDefault="00265A9E" w:rsidP="001326C0">
            <w:pPr>
              <w:jc w:val="both"/>
              <w:rPr>
                <w:rFonts w:eastAsia="Calibri"/>
                <w:sz w:val="18"/>
                <w:szCs w:val="18"/>
              </w:rPr>
            </w:pPr>
            <w:r w:rsidRPr="00265A9E">
              <w:rPr>
                <w:rFonts w:eastAsia="Calibri"/>
                <w:sz w:val="18"/>
                <w:szCs w:val="18"/>
              </w:rPr>
              <w:t>Prostat Kanseri</w:t>
            </w:r>
          </w:p>
          <w:p w:rsidR="00265A9E" w:rsidRPr="00265A9E" w:rsidRDefault="00265A9E" w:rsidP="001326C0">
            <w:pPr>
              <w:jc w:val="both"/>
              <w:rPr>
                <w:rFonts w:eastAsia="Calibri"/>
                <w:sz w:val="18"/>
                <w:szCs w:val="18"/>
              </w:rPr>
            </w:pPr>
          </w:p>
        </w:tc>
        <w:tc>
          <w:tcPr>
            <w:tcW w:w="851" w:type="dxa"/>
          </w:tcPr>
          <w:p w:rsidR="00265A9E" w:rsidRPr="00265A9E" w:rsidRDefault="00265A9E" w:rsidP="001326C0">
            <w:pPr>
              <w:jc w:val="both"/>
              <w:rPr>
                <w:rFonts w:eastAsia="Calibri"/>
                <w:sz w:val="18"/>
                <w:szCs w:val="18"/>
              </w:rPr>
            </w:pPr>
            <w:r w:rsidRPr="00265A9E">
              <w:rPr>
                <w:rFonts w:eastAsia="Calibri"/>
                <w:sz w:val="18"/>
                <w:szCs w:val="18"/>
              </w:rPr>
              <w:t>C61</w:t>
            </w:r>
          </w:p>
        </w:tc>
        <w:tc>
          <w:tcPr>
            <w:tcW w:w="2409" w:type="dxa"/>
          </w:tcPr>
          <w:p w:rsidR="00265A9E" w:rsidRPr="00265A9E" w:rsidRDefault="00265A9E" w:rsidP="001326C0">
            <w:pPr>
              <w:jc w:val="both"/>
              <w:rPr>
                <w:rFonts w:eastAsia="Calibri"/>
                <w:sz w:val="18"/>
                <w:szCs w:val="18"/>
              </w:rPr>
            </w:pPr>
            <w:proofErr w:type="spellStart"/>
            <w:r w:rsidRPr="00265A9E">
              <w:rPr>
                <w:rFonts w:eastAsia="Calibri"/>
                <w:sz w:val="18"/>
                <w:szCs w:val="18"/>
              </w:rPr>
              <w:t>Radyonüklid</w:t>
            </w:r>
            <w:proofErr w:type="spellEnd"/>
            <w:r w:rsidRPr="00265A9E">
              <w:rPr>
                <w:rFonts w:eastAsia="Calibri"/>
                <w:sz w:val="18"/>
                <w:szCs w:val="18"/>
              </w:rPr>
              <w:t xml:space="preserve"> tedavi için hasta seçimi ve </w:t>
            </w:r>
            <w:proofErr w:type="spellStart"/>
            <w:r w:rsidRPr="00265A9E">
              <w:rPr>
                <w:rFonts w:eastAsia="Calibri"/>
                <w:sz w:val="18"/>
                <w:szCs w:val="18"/>
              </w:rPr>
              <w:t>radyonüklid</w:t>
            </w:r>
            <w:proofErr w:type="spellEnd"/>
            <w:r w:rsidRPr="00265A9E">
              <w:rPr>
                <w:rFonts w:eastAsia="Calibri"/>
                <w:sz w:val="18"/>
                <w:szCs w:val="18"/>
              </w:rPr>
              <w:t xml:space="preserve"> tedavi yanıtının değerlendirilmesi </w:t>
            </w:r>
          </w:p>
        </w:tc>
        <w:tc>
          <w:tcPr>
            <w:tcW w:w="4395" w:type="dxa"/>
          </w:tcPr>
          <w:p w:rsidR="00265A9E" w:rsidRPr="00265A9E" w:rsidRDefault="00265A9E" w:rsidP="001326C0">
            <w:pPr>
              <w:shd w:val="clear" w:color="auto" w:fill="FFFFFF"/>
              <w:jc w:val="both"/>
              <w:rPr>
                <w:rFonts w:eastAsia="Calibri"/>
                <w:sz w:val="18"/>
                <w:szCs w:val="18"/>
              </w:rPr>
            </w:pPr>
            <w:r w:rsidRPr="00265A9E">
              <w:rPr>
                <w:rFonts w:eastAsia="Calibri"/>
                <w:sz w:val="18"/>
                <w:szCs w:val="18"/>
              </w:rPr>
              <w:t xml:space="preserve">PSMA hedefli </w:t>
            </w:r>
            <w:proofErr w:type="spellStart"/>
            <w:r w:rsidRPr="00265A9E">
              <w:rPr>
                <w:rFonts w:eastAsia="Calibri"/>
                <w:sz w:val="18"/>
                <w:szCs w:val="18"/>
              </w:rPr>
              <w:t>radyonüklid</w:t>
            </w:r>
            <w:proofErr w:type="spellEnd"/>
            <w:r w:rsidRPr="00265A9E">
              <w:rPr>
                <w:rFonts w:eastAsia="Calibri"/>
                <w:sz w:val="18"/>
                <w:szCs w:val="18"/>
              </w:rPr>
              <w:t xml:space="preserve"> tedavi planlanan hastalarda tedaviye uygunluğun değerlendirilmesi amaçlı yapılabilir. PSMA hedefli </w:t>
            </w:r>
            <w:proofErr w:type="spellStart"/>
            <w:r w:rsidRPr="00265A9E">
              <w:rPr>
                <w:rFonts w:eastAsia="Calibri"/>
                <w:sz w:val="18"/>
                <w:szCs w:val="18"/>
              </w:rPr>
              <w:t>radyonüklid</w:t>
            </w:r>
            <w:proofErr w:type="spellEnd"/>
            <w:r w:rsidRPr="00265A9E">
              <w:rPr>
                <w:rFonts w:eastAsia="Calibri"/>
                <w:sz w:val="18"/>
                <w:szCs w:val="18"/>
              </w:rPr>
              <w:t xml:space="preserve"> tedavi uygulanan hastalarda yanıt değerlendirme amaçlı, en erken 4. haftada yapılabilir. </w:t>
            </w:r>
            <w:proofErr w:type="gramStart"/>
            <w:r w:rsidRPr="00265A9E">
              <w:rPr>
                <w:rFonts w:eastAsia="Calibri"/>
                <w:sz w:val="18"/>
                <w:szCs w:val="18"/>
              </w:rPr>
              <w:t>Üçüncü  basamak</w:t>
            </w:r>
            <w:proofErr w:type="gramEnd"/>
            <w:r w:rsidRPr="00265A9E">
              <w:rPr>
                <w:rFonts w:eastAsia="Calibri"/>
                <w:sz w:val="18"/>
                <w:szCs w:val="18"/>
              </w:rPr>
              <w:t xml:space="preserve"> resmi sağlık hizmet sunucularında veya yataklı </w:t>
            </w:r>
            <w:proofErr w:type="spellStart"/>
            <w:r w:rsidRPr="00265A9E">
              <w:rPr>
                <w:rFonts w:eastAsia="Calibri"/>
                <w:sz w:val="18"/>
                <w:szCs w:val="18"/>
              </w:rPr>
              <w:t>radyonüklid</w:t>
            </w:r>
            <w:proofErr w:type="spellEnd"/>
            <w:r w:rsidRPr="00265A9E">
              <w:rPr>
                <w:rFonts w:eastAsia="Calibri"/>
                <w:sz w:val="18"/>
                <w:szCs w:val="18"/>
              </w:rPr>
              <w:t xml:space="preserve"> tedavi ünitesine sahip sağlık hizmet sunucularında yapılması halinde faturalandırılır. </w:t>
            </w:r>
          </w:p>
        </w:tc>
      </w:tr>
    </w:tbl>
    <w:p w:rsidR="00783752" w:rsidRPr="00265A9E" w:rsidRDefault="002C71A5" w:rsidP="00377DFE">
      <w:pPr>
        <w:jc w:val="both"/>
        <w:rPr>
          <w:b/>
          <w:sz w:val="18"/>
          <w:szCs w:val="18"/>
        </w:rPr>
      </w:pPr>
      <w:r w:rsidRPr="00265A9E">
        <w:rPr>
          <w:b/>
          <w:sz w:val="18"/>
          <w:szCs w:val="18"/>
        </w:rPr>
        <w:t xml:space="preserve">DİĞER </w:t>
      </w:r>
    </w:p>
    <w:p w:rsidR="00B24051" w:rsidRPr="00265A9E" w:rsidRDefault="00B24051" w:rsidP="00B24051">
      <w:pPr>
        <w:jc w:val="both"/>
        <w:rPr>
          <w:sz w:val="18"/>
          <w:szCs w:val="18"/>
        </w:rPr>
      </w:pPr>
    </w:p>
    <w:p w:rsidR="00265A9E" w:rsidRPr="00265A9E" w:rsidRDefault="00265A9E" w:rsidP="00265A9E">
      <w:pPr>
        <w:kinsoku w:val="0"/>
        <w:overflowPunct w:val="0"/>
        <w:jc w:val="both"/>
        <w:textAlignment w:val="baseline"/>
        <w:rPr>
          <w:sz w:val="18"/>
          <w:szCs w:val="18"/>
        </w:rPr>
      </w:pPr>
      <w:r w:rsidRPr="00265A9E">
        <w:rPr>
          <w:sz w:val="18"/>
          <w:szCs w:val="18"/>
        </w:rPr>
        <w:t xml:space="preserve">Aşağıda belirtilen çalışmaların geri ödeme kapsamında olması için, bir üniversite veya eğitim hastanesinden alınan, biri nükleer tıp uzmanı, biri ilgili </w:t>
      </w:r>
      <w:proofErr w:type="spellStart"/>
      <w:r w:rsidRPr="00265A9E">
        <w:rPr>
          <w:sz w:val="18"/>
          <w:szCs w:val="18"/>
        </w:rPr>
        <w:t>klinisyen</w:t>
      </w:r>
      <w:proofErr w:type="spellEnd"/>
      <w:r w:rsidRPr="00265A9E">
        <w:rPr>
          <w:sz w:val="18"/>
          <w:szCs w:val="18"/>
        </w:rPr>
        <w:t xml:space="preserve"> hekim olmak üzere en az 3 hekim tarafından hazırlanan gerekçeli raporun olması şartı aranır.</w:t>
      </w:r>
    </w:p>
    <w:p w:rsidR="00265A9E" w:rsidRPr="00265A9E" w:rsidRDefault="00265A9E" w:rsidP="00265A9E">
      <w:pPr>
        <w:widowControl w:val="0"/>
        <w:kinsoku w:val="0"/>
        <w:overflowPunct w:val="0"/>
        <w:ind w:right="72"/>
        <w:jc w:val="both"/>
        <w:textAlignment w:val="baseline"/>
        <w:rPr>
          <w:sz w:val="18"/>
          <w:szCs w:val="18"/>
        </w:rPr>
      </w:pPr>
      <w:r w:rsidRPr="00265A9E">
        <w:rPr>
          <w:sz w:val="18"/>
          <w:szCs w:val="18"/>
        </w:rPr>
        <w:t>1) Klinik olarak hastaya yapılmasının faydalı olacağı düşünülen, ancak Tablo 1,2,3,4,</w:t>
      </w:r>
      <w:proofErr w:type="gramStart"/>
      <w:r w:rsidRPr="00265A9E">
        <w:rPr>
          <w:sz w:val="18"/>
          <w:szCs w:val="18"/>
        </w:rPr>
        <w:t>6’da  belirtilmeyen</w:t>
      </w:r>
      <w:proofErr w:type="gramEnd"/>
      <w:r w:rsidRPr="00265A9E">
        <w:rPr>
          <w:sz w:val="18"/>
          <w:szCs w:val="18"/>
        </w:rPr>
        <w:t xml:space="preserve"> onkoloji veya onkoloji dışı </w:t>
      </w:r>
      <w:proofErr w:type="spellStart"/>
      <w:r w:rsidRPr="00265A9E">
        <w:rPr>
          <w:sz w:val="18"/>
          <w:szCs w:val="18"/>
        </w:rPr>
        <w:t>endikasyonlarla</w:t>
      </w:r>
      <w:proofErr w:type="spellEnd"/>
      <w:r w:rsidRPr="00265A9E">
        <w:rPr>
          <w:sz w:val="18"/>
          <w:szCs w:val="18"/>
        </w:rPr>
        <w:t xml:space="preserve"> yapılan 801.440 kodlu tüm vücut F-18 FDG veya 801364 kodlu Ga-68 ile işaretli </w:t>
      </w:r>
      <w:proofErr w:type="spellStart"/>
      <w:r w:rsidRPr="00265A9E">
        <w:rPr>
          <w:sz w:val="18"/>
          <w:szCs w:val="18"/>
        </w:rPr>
        <w:t>somatostatin</w:t>
      </w:r>
      <w:proofErr w:type="spellEnd"/>
      <w:r w:rsidRPr="00265A9E">
        <w:rPr>
          <w:sz w:val="18"/>
          <w:szCs w:val="18"/>
        </w:rPr>
        <w:t xml:space="preserve"> analog </w:t>
      </w:r>
      <w:proofErr w:type="spellStart"/>
      <w:r w:rsidRPr="00265A9E">
        <w:rPr>
          <w:sz w:val="18"/>
          <w:szCs w:val="18"/>
        </w:rPr>
        <w:t>peptidler</w:t>
      </w:r>
      <w:proofErr w:type="spellEnd"/>
      <w:r w:rsidRPr="00265A9E">
        <w:rPr>
          <w:sz w:val="18"/>
          <w:szCs w:val="18"/>
        </w:rPr>
        <w:t xml:space="preserve"> (DOTA-TATE, DOTA-NOC, DOTA-TOC ve türevleri) ve 801.365 kodlu “Ga-68 işaretli PSMA” ile yapılan PET çalışmaları</w:t>
      </w:r>
    </w:p>
    <w:p w:rsidR="00B24051" w:rsidRPr="00265A9E" w:rsidRDefault="00265A9E" w:rsidP="00265A9E">
      <w:pPr>
        <w:jc w:val="both"/>
        <w:rPr>
          <w:sz w:val="18"/>
          <w:szCs w:val="18"/>
        </w:rPr>
      </w:pPr>
      <w:r w:rsidRPr="00265A9E">
        <w:rPr>
          <w:spacing w:val="3"/>
          <w:sz w:val="18"/>
          <w:szCs w:val="18"/>
        </w:rPr>
        <w:t xml:space="preserve">2) </w:t>
      </w:r>
      <w:r w:rsidRPr="00265A9E">
        <w:rPr>
          <w:sz w:val="18"/>
          <w:szCs w:val="18"/>
        </w:rPr>
        <w:t>800841 kodlu</w:t>
      </w:r>
      <w:r w:rsidRPr="00265A9E">
        <w:rPr>
          <w:spacing w:val="3"/>
          <w:sz w:val="18"/>
          <w:szCs w:val="18"/>
        </w:rPr>
        <w:t xml:space="preserve"> </w:t>
      </w:r>
      <w:proofErr w:type="spellStart"/>
      <w:r w:rsidRPr="00265A9E">
        <w:rPr>
          <w:sz w:val="18"/>
          <w:szCs w:val="18"/>
        </w:rPr>
        <w:t>miyokard</w:t>
      </w:r>
      <w:proofErr w:type="spellEnd"/>
      <w:r w:rsidRPr="00265A9E">
        <w:rPr>
          <w:sz w:val="18"/>
          <w:szCs w:val="18"/>
        </w:rPr>
        <w:t xml:space="preserve"> </w:t>
      </w:r>
      <w:proofErr w:type="spellStart"/>
      <w:r w:rsidRPr="00265A9E">
        <w:rPr>
          <w:sz w:val="18"/>
          <w:szCs w:val="18"/>
        </w:rPr>
        <w:t>perfüzyon</w:t>
      </w:r>
      <w:proofErr w:type="spellEnd"/>
      <w:r w:rsidRPr="00265A9E">
        <w:rPr>
          <w:sz w:val="18"/>
          <w:szCs w:val="18"/>
        </w:rPr>
        <w:t xml:space="preserve"> PET (0-15, Rb-82 veya N-13 </w:t>
      </w:r>
      <w:proofErr w:type="spellStart"/>
      <w:r w:rsidRPr="00265A9E">
        <w:rPr>
          <w:sz w:val="18"/>
          <w:szCs w:val="18"/>
        </w:rPr>
        <w:t>amonia</w:t>
      </w:r>
      <w:proofErr w:type="spellEnd"/>
      <w:r w:rsidRPr="00265A9E">
        <w:rPr>
          <w:sz w:val="18"/>
          <w:szCs w:val="18"/>
        </w:rPr>
        <w:t xml:space="preserve"> ile)</w:t>
      </w:r>
    </w:p>
    <w:sectPr w:rsidR="00B24051" w:rsidRPr="00265A9E" w:rsidSect="00AC2681">
      <w:footerReference w:type="even" r:id="rId7"/>
      <w:footerReference w:type="default" r:id="rId8"/>
      <w:pgSz w:w="11906" w:h="16838"/>
      <w:pgMar w:top="851"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995" w:rsidRDefault="001A3995">
      <w:r>
        <w:separator/>
      </w:r>
    </w:p>
  </w:endnote>
  <w:endnote w:type="continuationSeparator" w:id="0">
    <w:p w:rsidR="001A3995" w:rsidRDefault="001A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1002AFF" w:usb1="4000ACF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FD0" w:rsidRDefault="00980FD0" w:rsidP="00F6245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80FD0" w:rsidRDefault="00980F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33017"/>
      <w:docPartObj>
        <w:docPartGallery w:val="Page Numbers (Bottom of Page)"/>
        <w:docPartUnique/>
      </w:docPartObj>
    </w:sdtPr>
    <w:sdtContent>
      <w:p w:rsidR="00344657" w:rsidRDefault="00344657">
        <w:pPr>
          <w:pStyle w:val="AltBilgi"/>
          <w:jc w:val="center"/>
        </w:pPr>
        <w:r>
          <w:fldChar w:fldCharType="begin"/>
        </w:r>
        <w:r>
          <w:instrText>PAGE   \* MERGEFORMAT</w:instrText>
        </w:r>
        <w:r>
          <w:fldChar w:fldCharType="separate"/>
        </w:r>
        <w:r>
          <w:t>2</w:t>
        </w:r>
        <w:r>
          <w:fldChar w:fldCharType="end"/>
        </w:r>
      </w:p>
    </w:sdtContent>
  </w:sdt>
  <w:p w:rsidR="00980FD0" w:rsidRDefault="00980F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995" w:rsidRDefault="001A3995">
      <w:r>
        <w:separator/>
      </w:r>
    </w:p>
  </w:footnote>
  <w:footnote w:type="continuationSeparator" w:id="0">
    <w:p w:rsidR="001A3995" w:rsidRDefault="001A3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66D"/>
    <w:multiLevelType w:val="hybridMultilevel"/>
    <w:tmpl w:val="B4F47A9C"/>
    <w:lvl w:ilvl="0" w:tplc="B868F126">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92C72"/>
    <w:multiLevelType w:val="multilevel"/>
    <w:tmpl w:val="044E9EBE"/>
    <w:lvl w:ilvl="0">
      <w:start w:val="1"/>
      <w:numFmt w:val="decimal"/>
      <w:lvlText w:val="%1."/>
      <w:lvlJc w:val="left"/>
      <w:pPr>
        <w:tabs>
          <w:tab w:val="num" w:pos="720"/>
        </w:tabs>
        <w:ind w:left="720" w:hanging="40"/>
      </w:pPr>
      <w:rPr>
        <w:rFonts w:hint="default"/>
      </w:rPr>
    </w:lvl>
    <w:lvl w:ilvl="1">
      <w:start w:val="1"/>
      <w:numFmt w:val="lowerLetter"/>
      <w:lvlText w:val="%2)"/>
      <w:lvlJc w:val="left"/>
      <w:pPr>
        <w:tabs>
          <w:tab w:val="num" w:pos="1440"/>
        </w:tabs>
        <w:ind w:left="1440" w:hanging="360"/>
      </w:pPr>
      <w:rPr>
        <w:rFont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783F22"/>
    <w:multiLevelType w:val="hybridMultilevel"/>
    <w:tmpl w:val="7B6AF558"/>
    <w:lvl w:ilvl="0" w:tplc="E2F68B6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766CB6"/>
    <w:multiLevelType w:val="hybridMultilevel"/>
    <w:tmpl w:val="B65A1612"/>
    <w:lvl w:ilvl="0" w:tplc="838AC656">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36305"/>
    <w:multiLevelType w:val="multilevel"/>
    <w:tmpl w:val="037C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01AA1"/>
    <w:multiLevelType w:val="multilevel"/>
    <w:tmpl w:val="E64EFD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5D2F0E"/>
    <w:multiLevelType w:val="multilevel"/>
    <w:tmpl w:val="C39A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96507"/>
    <w:multiLevelType w:val="multilevel"/>
    <w:tmpl w:val="13E2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F0B5E"/>
    <w:multiLevelType w:val="hybridMultilevel"/>
    <w:tmpl w:val="C518E5E4"/>
    <w:lvl w:ilvl="0" w:tplc="4350A4DA">
      <w:start w:val="1"/>
      <w:numFmt w:val="decimal"/>
      <w:lvlText w:val="%1."/>
      <w:lvlJc w:val="left"/>
      <w:pPr>
        <w:tabs>
          <w:tab w:val="num" w:pos="851"/>
        </w:tabs>
        <w:ind w:left="720" w:hanging="40"/>
      </w:pPr>
      <w:rPr>
        <w:rFonts w:hint="default"/>
      </w:rPr>
    </w:lvl>
    <w:lvl w:ilvl="1" w:tplc="EC5660A8">
      <w:start w:val="1"/>
      <w:numFmt w:val="lowerLetter"/>
      <w:lvlText w:val="%2)"/>
      <w:lvlJc w:val="left"/>
      <w:pPr>
        <w:tabs>
          <w:tab w:val="num" w:pos="1440"/>
        </w:tabs>
        <w:ind w:left="1440" w:hanging="360"/>
      </w:pPr>
      <w:rPr>
        <w:rFonts w:cs="Aria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F012A10"/>
    <w:multiLevelType w:val="hybridMultilevel"/>
    <w:tmpl w:val="D3F2877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2FE2856"/>
    <w:multiLevelType w:val="hybridMultilevel"/>
    <w:tmpl w:val="245665BC"/>
    <w:lvl w:ilvl="0" w:tplc="2B2A56B0">
      <w:numFmt w:val="bullet"/>
      <w:lvlText w:val="-"/>
      <w:lvlJc w:val="left"/>
      <w:pPr>
        <w:tabs>
          <w:tab w:val="num" w:pos="360"/>
        </w:tabs>
        <w:ind w:left="360" w:hanging="360"/>
      </w:pPr>
      <w:rPr>
        <w:rFonts w:ascii="Times New Roman" w:eastAsia="Times New Roman" w:hAnsi="Times New Roman" w:cs="Times New Roman"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FF5195"/>
    <w:multiLevelType w:val="hybridMultilevel"/>
    <w:tmpl w:val="AD3C8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A5822"/>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75151D"/>
    <w:multiLevelType w:val="multilevel"/>
    <w:tmpl w:val="76CE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3552B2"/>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0D4B07"/>
    <w:multiLevelType w:val="multilevel"/>
    <w:tmpl w:val="0108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E22DE"/>
    <w:multiLevelType w:val="multilevel"/>
    <w:tmpl w:val="AD7C0C7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0990817"/>
    <w:multiLevelType w:val="multilevel"/>
    <w:tmpl w:val="B4F47A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C5FE6"/>
    <w:multiLevelType w:val="hybridMultilevel"/>
    <w:tmpl w:val="AD7C0C74"/>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15:restartNumberingAfterBreak="0">
    <w:nsid w:val="34B250A8"/>
    <w:multiLevelType w:val="multilevel"/>
    <w:tmpl w:val="E4AA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B29D3"/>
    <w:multiLevelType w:val="singleLevel"/>
    <w:tmpl w:val="041F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F392384"/>
    <w:multiLevelType w:val="multilevel"/>
    <w:tmpl w:val="7F4E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1C589B"/>
    <w:multiLevelType w:val="multilevel"/>
    <w:tmpl w:val="C32600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F1452F"/>
    <w:multiLevelType w:val="hybridMultilevel"/>
    <w:tmpl w:val="B414D7D4"/>
    <w:lvl w:ilvl="0" w:tplc="F508D0A4">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59519DF"/>
    <w:multiLevelType w:val="singleLevel"/>
    <w:tmpl w:val="041F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91C02E7"/>
    <w:multiLevelType w:val="multilevel"/>
    <w:tmpl w:val="1AB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803AD"/>
    <w:multiLevelType w:val="hybridMultilevel"/>
    <w:tmpl w:val="B3847D38"/>
    <w:lvl w:ilvl="0" w:tplc="F508D0A4">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7" w15:restartNumberingAfterBreak="0">
    <w:nsid w:val="4D9D4071"/>
    <w:multiLevelType w:val="multilevel"/>
    <w:tmpl w:val="BAE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A4048"/>
    <w:multiLevelType w:val="hybridMultilevel"/>
    <w:tmpl w:val="CC209C8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2604D16"/>
    <w:multiLevelType w:val="multilevel"/>
    <w:tmpl w:val="67B87B2E"/>
    <w:lvl w:ilvl="0">
      <w:start w:val="1"/>
      <w:numFmt w:val="decimal"/>
      <w:lvlText w:val="%1."/>
      <w:lvlJc w:val="left"/>
      <w:pPr>
        <w:tabs>
          <w:tab w:val="num" w:pos="171"/>
        </w:tabs>
        <w:ind w:left="40" w:hanging="40"/>
      </w:pPr>
      <w:rPr>
        <w:rFonts w:hint="default"/>
      </w:rPr>
    </w:lvl>
    <w:lvl w:ilvl="1">
      <w:start w:val="1"/>
      <w:numFmt w:val="lowerLetter"/>
      <w:lvlText w:val="%2)"/>
      <w:lvlJc w:val="left"/>
      <w:pPr>
        <w:tabs>
          <w:tab w:val="num" w:pos="720"/>
        </w:tabs>
        <w:ind w:left="720" w:hanging="360"/>
      </w:pPr>
      <w:rPr>
        <w:rFonts w:hint="default"/>
        <w:b/>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3DE771D"/>
    <w:multiLevelType w:val="multilevel"/>
    <w:tmpl w:val="67B87B2E"/>
    <w:lvl w:ilvl="0">
      <w:start w:val="1"/>
      <w:numFmt w:val="decimal"/>
      <w:lvlText w:val="%1."/>
      <w:lvlJc w:val="left"/>
      <w:pPr>
        <w:tabs>
          <w:tab w:val="num" w:pos="171"/>
        </w:tabs>
        <w:ind w:left="40" w:hanging="40"/>
      </w:pPr>
      <w:rPr>
        <w:rFonts w:hint="default"/>
      </w:rPr>
    </w:lvl>
    <w:lvl w:ilvl="1">
      <w:start w:val="1"/>
      <w:numFmt w:val="lowerLetter"/>
      <w:lvlText w:val="%2)"/>
      <w:lvlJc w:val="left"/>
      <w:pPr>
        <w:tabs>
          <w:tab w:val="num" w:pos="720"/>
        </w:tabs>
        <w:ind w:left="720" w:hanging="360"/>
      </w:pPr>
      <w:rPr>
        <w:rFonts w:hint="default"/>
        <w:b/>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6169B7"/>
    <w:multiLevelType w:val="multilevel"/>
    <w:tmpl w:val="B018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A3FCC"/>
    <w:multiLevelType w:val="multilevel"/>
    <w:tmpl w:val="74C6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8B1A7D"/>
    <w:multiLevelType w:val="hybridMultilevel"/>
    <w:tmpl w:val="49BAD2BE"/>
    <w:lvl w:ilvl="0" w:tplc="31A28B16">
      <w:numFmt w:val="bullet"/>
      <w:lvlText w:val="-"/>
      <w:lvlJc w:val="left"/>
      <w:pPr>
        <w:tabs>
          <w:tab w:val="num" w:pos="360"/>
        </w:tabs>
        <w:ind w:left="360" w:hanging="360"/>
      </w:pPr>
      <w:rPr>
        <w:rFonts w:ascii="Times New Roman" w:eastAsia="Times New Roman" w:hAnsi="Times New Roman" w:cs="Times New Roman"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5A1D15"/>
    <w:multiLevelType w:val="multilevel"/>
    <w:tmpl w:val="849610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3A43318"/>
    <w:multiLevelType w:val="multilevel"/>
    <w:tmpl w:val="A406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1629D"/>
    <w:multiLevelType w:val="multilevel"/>
    <w:tmpl w:val="4C1C3AF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66125CA"/>
    <w:multiLevelType w:val="multilevel"/>
    <w:tmpl w:val="962A5508"/>
    <w:lvl w:ilvl="0">
      <w:start w:val="1"/>
      <w:numFmt w:val="decimal"/>
      <w:lvlText w:val="%1."/>
      <w:lvlJc w:val="left"/>
      <w:pPr>
        <w:tabs>
          <w:tab w:val="num" w:pos="567"/>
        </w:tabs>
        <w:ind w:left="720" w:hanging="40"/>
      </w:pPr>
      <w:rPr>
        <w:rFonts w:hint="default"/>
      </w:rPr>
    </w:lvl>
    <w:lvl w:ilvl="1">
      <w:start w:val="1"/>
      <w:numFmt w:val="lowerLetter"/>
      <w:lvlText w:val="%2)"/>
      <w:lvlJc w:val="left"/>
      <w:pPr>
        <w:tabs>
          <w:tab w:val="num" w:pos="1440"/>
        </w:tabs>
        <w:ind w:left="1440" w:hanging="360"/>
      </w:pPr>
      <w:rPr>
        <w:rFont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FD6BE6"/>
    <w:multiLevelType w:val="hybridMultilevel"/>
    <w:tmpl w:val="FF54BE9E"/>
    <w:lvl w:ilvl="0" w:tplc="61928F6A">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95879C4"/>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A333BFC"/>
    <w:multiLevelType w:val="hybridMultilevel"/>
    <w:tmpl w:val="FCEA5F4C"/>
    <w:lvl w:ilvl="0" w:tplc="A33471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692F97"/>
    <w:multiLevelType w:val="hybridMultilevel"/>
    <w:tmpl w:val="EC1A5C3A"/>
    <w:lvl w:ilvl="0" w:tplc="838AC656">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D1723F"/>
    <w:multiLevelType w:val="multilevel"/>
    <w:tmpl w:val="7C32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0"/>
  </w:num>
  <w:num w:numId="3">
    <w:abstractNumId w:val="42"/>
  </w:num>
  <w:num w:numId="4">
    <w:abstractNumId w:val="33"/>
  </w:num>
  <w:num w:numId="5">
    <w:abstractNumId w:val="35"/>
  </w:num>
  <w:num w:numId="6">
    <w:abstractNumId w:val="7"/>
  </w:num>
  <w:num w:numId="7">
    <w:abstractNumId w:val="6"/>
  </w:num>
  <w:num w:numId="8">
    <w:abstractNumId w:val="19"/>
  </w:num>
  <w:num w:numId="9">
    <w:abstractNumId w:val="13"/>
  </w:num>
  <w:num w:numId="10">
    <w:abstractNumId w:val="15"/>
  </w:num>
  <w:num w:numId="11">
    <w:abstractNumId w:val="4"/>
  </w:num>
  <w:num w:numId="12">
    <w:abstractNumId w:val="27"/>
  </w:num>
  <w:num w:numId="13">
    <w:abstractNumId w:val="32"/>
  </w:num>
  <w:num w:numId="14">
    <w:abstractNumId w:val="21"/>
  </w:num>
  <w:num w:numId="15">
    <w:abstractNumId w:val="11"/>
  </w:num>
  <w:num w:numId="16">
    <w:abstractNumId w:val="31"/>
  </w:num>
  <w:num w:numId="17">
    <w:abstractNumId w:val="0"/>
  </w:num>
  <w:num w:numId="18">
    <w:abstractNumId w:val="17"/>
  </w:num>
  <w:num w:numId="19">
    <w:abstractNumId w:val="41"/>
  </w:num>
  <w:num w:numId="20">
    <w:abstractNumId w:val="3"/>
  </w:num>
  <w:num w:numId="21">
    <w:abstractNumId w:val="18"/>
  </w:num>
  <w:num w:numId="22">
    <w:abstractNumId w:val="26"/>
  </w:num>
  <w:num w:numId="23">
    <w:abstractNumId w:val="16"/>
  </w:num>
  <w:num w:numId="24">
    <w:abstractNumId w:val="23"/>
  </w:num>
  <w:num w:numId="25">
    <w:abstractNumId w:val="20"/>
  </w:num>
  <w:num w:numId="26">
    <w:abstractNumId w:val="24"/>
  </w:num>
  <w:num w:numId="27">
    <w:abstractNumId w:val="28"/>
  </w:num>
  <w:num w:numId="28">
    <w:abstractNumId w:val="5"/>
  </w:num>
  <w:num w:numId="29">
    <w:abstractNumId w:val="34"/>
  </w:num>
  <w:num w:numId="30">
    <w:abstractNumId w:val="9"/>
  </w:num>
  <w:num w:numId="31">
    <w:abstractNumId w:val="8"/>
  </w:num>
  <w:num w:numId="32">
    <w:abstractNumId w:val="22"/>
  </w:num>
  <w:num w:numId="33">
    <w:abstractNumId w:val="1"/>
  </w:num>
  <w:num w:numId="34">
    <w:abstractNumId w:val="37"/>
  </w:num>
  <w:num w:numId="35">
    <w:abstractNumId w:val="39"/>
  </w:num>
  <w:num w:numId="36">
    <w:abstractNumId w:val="14"/>
  </w:num>
  <w:num w:numId="37">
    <w:abstractNumId w:val="12"/>
  </w:num>
  <w:num w:numId="38">
    <w:abstractNumId w:val="29"/>
  </w:num>
  <w:num w:numId="39">
    <w:abstractNumId w:val="36"/>
  </w:num>
  <w:num w:numId="40">
    <w:abstractNumId w:val="40"/>
  </w:num>
  <w:num w:numId="41">
    <w:abstractNumId w:val="38"/>
  </w:num>
  <w:num w:numId="42">
    <w:abstractNumId w:val="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87"/>
    <w:rsid w:val="00002C13"/>
    <w:rsid w:val="00011739"/>
    <w:rsid w:val="000155E2"/>
    <w:rsid w:val="000260AA"/>
    <w:rsid w:val="00077487"/>
    <w:rsid w:val="000C0253"/>
    <w:rsid w:val="000C1EAC"/>
    <w:rsid w:val="000C2157"/>
    <w:rsid w:val="000E279C"/>
    <w:rsid w:val="000F38EC"/>
    <w:rsid w:val="000F4956"/>
    <w:rsid w:val="001045A9"/>
    <w:rsid w:val="001270C1"/>
    <w:rsid w:val="00131F0B"/>
    <w:rsid w:val="00140B35"/>
    <w:rsid w:val="00147C26"/>
    <w:rsid w:val="0017018A"/>
    <w:rsid w:val="001947DF"/>
    <w:rsid w:val="001958D5"/>
    <w:rsid w:val="00196792"/>
    <w:rsid w:val="001A3995"/>
    <w:rsid w:val="001B72DD"/>
    <w:rsid w:val="001C57CF"/>
    <w:rsid w:val="001D04F4"/>
    <w:rsid w:val="001D2F94"/>
    <w:rsid w:val="001D51B0"/>
    <w:rsid w:val="001D6C39"/>
    <w:rsid w:val="0021586C"/>
    <w:rsid w:val="00221D3D"/>
    <w:rsid w:val="00233891"/>
    <w:rsid w:val="00234282"/>
    <w:rsid w:val="00240B05"/>
    <w:rsid w:val="00246D6B"/>
    <w:rsid w:val="00254335"/>
    <w:rsid w:val="00254B53"/>
    <w:rsid w:val="00265A9E"/>
    <w:rsid w:val="00270C54"/>
    <w:rsid w:val="0028293A"/>
    <w:rsid w:val="002867AB"/>
    <w:rsid w:val="00294DAE"/>
    <w:rsid w:val="002B6CF2"/>
    <w:rsid w:val="002C71A5"/>
    <w:rsid w:val="002D3E58"/>
    <w:rsid w:val="002D6884"/>
    <w:rsid w:val="00301D93"/>
    <w:rsid w:val="00301F3A"/>
    <w:rsid w:val="00312045"/>
    <w:rsid w:val="00313AB4"/>
    <w:rsid w:val="0031635E"/>
    <w:rsid w:val="003369DE"/>
    <w:rsid w:val="00344657"/>
    <w:rsid w:val="00366A55"/>
    <w:rsid w:val="00377DFE"/>
    <w:rsid w:val="003811E5"/>
    <w:rsid w:val="00381EF4"/>
    <w:rsid w:val="0038293A"/>
    <w:rsid w:val="00391E79"/>
    <w:rsid w:val="003A4081"/>
    <w:rsid w:val="003A6001"/>
    <w:rsid w:val="003D2331"/>
    <w:rsid w:val="00407D3C"/>
    <w:rsid w:val="00416F80"/>
    <w:rsid w:val="00423C6C"/>
    <w:rsid w:val="004327D1"/>
    <w:rsid w:val="0044534E"/>
    <w:rsid w:val="00446D1F"/>
    <w:rsid w:val="004554C3"/>
    <w:rsid w:val="00466176"/>
    <w:rsid w:val="00473C4A"/>
    <w:rsid w:val="00474A18"/>
    <w:rsid w:val="00474BFF"/>
    <w:rsid w:val="00477DC9"/>
    <w:rsid w:val="00483D84"/>
    <w:rsid w:val="004A075D"/>
    <w:rsid w:val="004B0B92"/>
    <w:rsid w:val="004B0E1F"/>
    <w:rsid w:val="004C1641"/>
    <w:rsid w:val="004D03C0"/>
    <w:rsid w:val="004F1228"/>
    <w:rsid w:val="004F699D"/>
    <w:rsid w:val="00525A28"/>
    <w:rsid w:val="005355EF"/>
    <w:rsid w:val="00536DCE"/>
    <w:rsid w:val="0055449B"/>
    <w:rsid w:val="00557F06"/>
    <w:rsid w:val="00562971"/>
    <w:rsid w:val="00573D1D"/>
    <w:rsid w:val="0058288D"/>
    <w:rsid w:val="00582EBA"/>
    <w:rsid w:val="005833DC"/>
    <w:rsid w:val="00585902"/>
    <w:rsid w:val="00591303"/>
    <w:rsid w:val="005A5B9A"/>
    <w:rsid w:val="005D0F85"/>
    <w:rsid w:val="005D13D7"/>
    <w:rsid w:val="005D3A95"/>
    <w:rsid w:val="005D661C"/>
    <w:rsid w:val="005E1A4D"/>
    <w:rsid w:val="006167CF"/>
    <w:rsid w:val="0063770C"/>
    <w:rsid w:val="00641985"/>
    <w:rsid w:val="00660061"/>
    <w:rsid w:val="00680E18"/>
    <w:rsid w:val="006834C1"/>
    <w:rsid w:val="00685269"/>
    <w:rsid w:val="0069527F"/>
    <w:rsid w:val="006B2C84"/>
    <w:rsid w:val="006E2294"/>
    <w:rsid w:val="006E464F"/>
    <w:rsid w:val="00711912"/>
    <w:rsid w:val="00714391"/>
    <w:rsid w:val="00724C0F"/>
    <w:rsid w:val="007333AF"/>
    <w:rsid w:val="00743E3D"/>
    <w:rsid w:val="007471E5"/>
    <w:rsid w:val="007508EE"/>
    <w:rsid w:val="00752318"/>
    <w:rsid w:val="00767AAD"/>
    <w:rsid w:val="00772B30"/>
    <w:rsid w:val="0077345C"/>
    <w:rsid w:val="00780BF1"/>
    <w:rsid w:val="00783752"/>
    <w:rsid w:val="007847B8"/>
    <w:rsid w:val="0079595F"/>
    <w:rsid w:val="00797A25"/>
    <w:rsid w:val="007D1F4A"/>
    <w:rsid w:val="007E0048"/>
    <w:rsid w:val="007E764C"/>
    <w:rsid w:val="007F5C27"/>
    <w:rsid w:val="00810446"/>
    <w:rsid w:val="008157E6"/>
    <w:rsid w:val="008345B7"/>
    <w:rsid w:val="0083631F"/>
    <w:rsid w:val="0083723A"/>
    <w:rsid w:val="00847920"/>
    <w:rsid w:val="00854134"/>
    <w:rsid w:val="008719EA"/>
    <w:rsid w:val="00893CE2"/>
    <w:rsid w:val="008A386E"/>
    <w:rsid w:val="008A6A95"/>
    <w:rsid w:val="008B31B2"/>
    <w:rsid w:val="008B408F"/>
    <w:rsid w:val="008C233F"/>
    <w:rsid w:val="008C6B32"/>
    <w:rsid w:val="008F6A69"/>
    <w:rsid w:val="00902647"/>
    <w:rsid w:val="00903219"/>
    <w:rsid w:val="00904312"/>
    <w:rsid w:val="00910D6B"/>
    <w:rsid w:val="009144D8"/>
    <w:rsid w:val="009153B3"/>
    <w:rsid w:val="00934152"/>
    <w:rsid w:val="00942C1D"/>
    <w:rsid w:val="00954DFB"/>
    <w:rsid w:val="00961CBE"/>
    <w:rsid w:val="009711AB"/>
    <w:rsid w:val="00972036"/>
    <w:rsid w:val="009720A9"/>
    <w:rsid w:val="00975EA6"/>
    <w:rsid w:val="00977685"/>
    <w:rsid w:val="00980FD0"/>
    <w:rsid w:val="009929B2"/>
    <w:rsid w:val="009A325D"/>
    <w:rsid w:val="009A4ABB"/>
    <w:rsid w:val="009C274A"/>
    <w:rsid w:val="009D3036"/>
    <w:rsid w:val="009D6987"/>
    <w:rsid w:val="009F016A"/>
    <w:rsid w:val="00A01C36"/>
    <w:rsid w:val="00A103EB"/>
    <w:rsid w:val="00A12B94"/>
    <w:rsid w:val="00A21C30"/>
    <w:rsid w:val="00A43D76"/>
    <w:rsid w:val="00A657F4"/>
    <w:rsid w:val="00A66AE4"/>
    <w:rsid w:val="00A71126"/>
    <w:rsid w:val="00A71A15"/>
    <w:rsid w:val="00A71E94"/>
    <w:rsid w:val="00A85AC9"/>
    <w:rsid w:val="00A9230C"/>
    <w:rsid w:val="00A93409"/>
    <w:rsid w:val="00A96699"/>
    <w:rsid w:val="00A968AB"/>
    <w:rsid w:val="00AC1697"/>
    <w:rsid w:val="00AC2681"/>
    <w:rsid w:val="00AC67A0"/>
    <w:rsid w:val="00AD40AE"/>
    <w:rsid w:val="00AD5061"/>
    <w:rsid w:val="00AE1E92"/>
    <w:rsid w:val="00AE43C0"/>
    <w:rsid w:val="00AE5836"/>
    <w:rsid w:val="00AF24C3"/>
    <w:rsid w:val="00B0051A"/>
    <w:rsid w:val="00B06A8A"/>
    <w:rsid w:val="00B11E9A"/>
    <w:rsid w:val="00B15368"/>
    <w:rsid w:val="00B1688B"/>
    <w:rsid w:val="00B24051"/>
    <w:rsid w:val="00B36F44"/>
    <w:rsid w:val="00B60C25"/>
    <w:rsid w:val="00B635BB"/>
    <w:rsid w:val="00B72ECB"/>
    <w:rsid w:val="00B74979"/>
    <w:rsid w:val="00B91BBD"/>
    <w:rsid w:val="00B91D8A"/>
    <w:rsid w:val="00B93B39"/>
    <w:rsid w:val="00B96319"/>
    <w:rsid w:val="00BA69E9"/>
    <w:rsid w:val="00BD10D3"/>
    <w:rsid w:val="00BE33B0"/>
    <w:rsid w:val="00BF59FC"/>
    <w:rsid w:val="00BF7BBB"/>
    <w:rsid w:val="00C1357E"/>
    <w:rsid w:val="00C169DC"/>
    <w:rsid w:val="00C17112"/>
    <w:rsid w:val="00C21F6B"/>
    <w:rsid w:val="00C35457"/>
    <w:rsid w:val="00C35554"/>
    <w:rsid w:val="00C5026F"/>
    <w:rsid w:val="00C52CD0"/>
    <w:rsid w:val="00C534C0"/>
    <w:rsid w:val="00C6004E"/>
    <w:rsid w:val="00C67F4F"/>
    <w:rsid w:val="00C723C1"/>
    <w:rsid w:val="00C74B15"/>
    <w:rsid w:val="00C93701"/>
    <w:rsid w:val="00C93E91"/>
    <w:rsid w:val="00CA06D5"/>
    <w:rsid w:val="00CC35CB"/>
    <w:rsid w:val="00CC4649"/>
    <w:rsid w:val="00CD1136"/>
    <w:rsid w:val="00CE0BA5"/>
    <w:rsid w:val="00CE2632"/>
    <w:rsid w:val="00CE6852"/>
    <w:rsid w:val="00CF3726"/>
    <w:rsid w:val="00D2486B"/>
    <w:rsid w:val="00D509C3"/>
    <w:rsid w:val="00D73AE2"/>
    <w:rsid w:val="00D76131"/>
    <w:rsid w:val="00D81858"/>
    <w:rsid w:val="00D93201"/>
    <w:rsid w:val="00DC3B48"/>
    <w:rsid w:val="00DC6C64"/>
    <w:rsid w:val="00DD37B0"/>
    <w:rsid w:val="00DE2514"/>
    <w:rsid w:val="00DF215E"/>
    <w:rsid w:val="00DF2B64"/>
    <w:rsid w:val="00E07344"/>
    <w:rsid w:val="00E17DD3"/>
    <w:rsid w:val="00E24978"/>
    <w:rsid w:val="00E271C0"/>
    <w:rsid w:val="00E31F67"/>
    <w:rsid w:val="00E61844"/>
    <w:rsid w:val="00E91179"/>
    <w:rsid w:val="00E913A6"/>
    <w:rsid w:val="00EB191F"/>
    <w:rsid w:val="00EB2C1C"/>
    <w:rsid w:val="00ED0748"/>
    <w:rsid w:val="00ED413B"/>
    <w:rsid w:val="00ED7FA8"/>
    <w:rsid w:val="00EE55F3"/>
    <w:rsid w:val="00EE71A0"/>
    <w:rsid w:val="00EF0E25"/>
    <w:rsid w:val="00F006B2"/>
    <w:rsid w:val="00F27F38"/>
    <w:rsid w:val="00F35185"/>
    <w:rsid w:val="00F41EB7"/>
    <w:rsid w:val="00F42DAD"/>
    <w:rsid w:val="00F43379"/>
    <w:rsid w:val="00F55C88"/>
    <w:rsid w:val="00F6245B"/>
    <w:rsid w:val="00F650A1"/>
    <w:rsid w:val="00F74AB4"/>
    <w:rsid w:val="00F74B31"/>
    <w:rsid w:val="00FB287B"/>
    <w:rsid w:val="00FC1E3D"/>
    <w:rsid w:val="00FC4FA7"/>
    <w:rsid w:val="00FC6E8E"/>
    <w:rsid w:val="00FD39C8"/>
    <w:rsid w:val="00FF3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BD34A8-2096-400E-86D9-A584B02A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3B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7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semiHidden/>
    <w:rsid w:val="00423C6C"/>
    <w:rPr>
      <w:sz w:val="20"/>
      <w:szCs w:val="20"/>
    </w:rPr>
  </w:style>
  <w:style w:type="character" w:styleId="DipnotBavurusu">
    <w:name w:val="footnote reference"/>
    <w:semiHidden/>
    <w:rsid w:val="00423C6C"/>
    <w:rPr>
      <w:vertAlign w:val="superscript"/>
    </w:rPr>
  </w:style>
  <w:style w:type="paragraph" w:styleId="AltBilgi">
    <w:name w:val="footer"/>
    <w:basedOn w:val="Normal"/>
    <w:link w:val="AltBilgiChar"/>
    <w:uiPriority w:val="99"/>
    <w:rsid w:val="00FC4FA7"/>
    <w:pPr>
      <w:tabs>
        <w:tab w:val="center" w:pos="4536"/>
        <w:tab w:val="right" w:pos="9072"/>
      </w:tabs>
    </w:pPr>
  </w:style>
  <w:style w:type="character" w:styleId="SayfaNumaras">
    <w:name w:val="page number"/>
    <w:basedOn w:val="VarsaylanParagrafYazTipi"/>
    <w:rsid w:val="00FC4FA7"/>
  </w:style>
  <w:style w:type="character" w:customStyle="1" w:styleId="normal1">
    <w:name w:val="normal1"/>
    <w:basedOn w:val="VarsaylanParagrafYazTipi"/>
    <w:rsid w:val="00F55C88"/>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C5026F"/>
    <w:pPr>
      <w:ind w:left="708"/>
    </w:p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265A9E"/>
    <w:rPr>
      <w:sz w:val="24"/>
      <w:szCs w:val="24"/>
    </w:rPr>
  </w:style>
  <w:style w:type="paragraph" w:styleId="stBilgi">
    <w:name w:val="header"/>
    <w:basedOn w:val="Normal"/>
    <w:link w:val="stBilgiChar"/>
    <w:uiPriority w:val="99"/>
    <w:unhideWhenUsed/>
    <w:rsid w:val="00344657"/>
    <w:pPr>
      <w:tabs>
        <w:tab w:val="center" w:pos="4536"/>
        <w:tab w:val="right" w:pos="9072"/>
      </w:tabs>
    </w:pPr>
  </w:style>
  <w:style w:type="character" w:customStyle="1" w:styleId="stBilgiChar">
    <w:name w:val="Üst Bilgi Char"/>
    <w:basedOn w:val="VarsaylanParagrafYazTipi"/>
    <w:link w:val="stBilgi"/>
    <w:uiPriority w:val="99"/>
    <w:rsid w:val="00344657"/>
    <w:rPr>
      <w:sz w:val="24"/>
      <w:szCs w:val="24"/>
    </w:rPr>
  </w:style>
  <w:style w:type="character" w:customStyle="1" w:styleId="AltBilgiChar">
    <w:name w:val="Alt Bilgi Char"/>
    <w:basedOn w:val="VarsaylanParagrafYazTipi"/>
    <w:link w:val="AltBilgi"/>
    <w:uiPriority w:val="99"/>
    <w:rsid w:val="003446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3096">
      <w:bodyDiv w:val="1"/>
      <w:marLeft w:val="0"/>
      <w:marRight w:val="0"/>
      <w:marTop w:val="0"/>
      <w:marBottom w:val="0"/>
      <w:divBdr>
        <w:top w:val="none" w:sz="0" w:space="0" w:color="auto"/>
        <w:left w:val="none" w:sz="0" w:space="0" w:color="auto"/>
        <w:bottom w:val="none" w:sz="0" w:space="0" w:color="auto"/>
        <w:right w:val="none" w:sz="0" w:space="0" w:color="auto"/>
      </w:divBdr>
    </w:div>
    <w:div w:id="595290245">
      <w:bodyDiv w:val="1"/>
      <w:marLeft w:val="0"/>
      <w:marRight w:val="0"/>
      <w:marTop w:val="0"/>
      <w:marBottom w:val="0"/>
      <w:divBdr>
        <w:top w:val="none" w:sz="0" w:space="0" w:color="auto"/>
        <w:left w:val="none" w:sz="0" w:space="0" w:color="auto"/>
        <w:bottom w:val="none" w:sz="0" w:space="0" w:color="auto"/>
        <w:right w:val="none" w:sz="0" w:space="0" w:color="auto"/>
      </w:divBdr>
    </w:div>
    <w:div w:id="616913963">
      <w:bodyDiv w:val="1"/>
      <w:marLeft w:val="60"/>
      <w:marRight w:val="60"/>
      <w:marTop w:val="0"/>
      <w:marBottom w:val="0"/>
      <w:divBdr>
        <w:top w:val="none" w:sz="0" w:space="0" w:color="auto"/>
        <w:left w:val="none" w:sz="0" w:space="0" w:color="auto"/>
        <w:bottom w:val="none" w:sz="0" w:space="0" w:color="auto"/>
        <w:right w:val="none" w:sz="0" w:space="0" w:color="auto"/>
      </w:divBdr>
      <w:divsChild>
        <w:div w:id="1744569675">
          <w:marLeft w:val="0"/>
          <w:marRight w:val="0"/>
          <w:marTop w:val="240"/>
          <w:marBottom w:val="240"/>
          <w:divBdr>
            <w:top w:val="none" w:sz="0" w:space="0" w:color="auto"/>
            <w:left w:val="none" w:sz="0" w:space="0" w:color="auto"/>
            <w:bottom w:val="none" w:sz="0" w:space="0" w:color="auto"/>
            <w:right w:val="none" w:sz="0" w:space="0" w:color="auto"/>
          </w:divBdr>
          <w:divsChild>
            <w:div w:id="63726275">
              <w:marLeft w:val="0"/>
              <w:marRight w:val="0"/>
              <w:marTop w:val="0"/>
              <w:marBottom w:val="0"/>
              <w:divBdr>
                <w:top w:val="none" w:sz="0" w:space="0" w:color="auto"/>
                <w:left w:val="none" w:sz="0" w:space="0" w:color="auto"/>
                <w:bottom w:val="none" w:sz="0" w:space="0" w:color="auto"/>
                <w:right w:val="none" w:sz="0" w:space="0" w:color="auto"/>
              </w:divBdr>
              <w:divsChild>
                <w:div w:id="20060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9099">
      <w:bodyDiv w:val="1"/>
      <w:marLeft w:val="60"/>
      <w:marRight w:val="60"/>
      <w:marTop w:val="0"/>
      <w:marBottom w:val="0"/>
      <w:divBdr>
        <w:top w:val="none" w:sz="0" w:space="0" w:color="auto"/>
        <w:left w:val="none" w:sz="0" w:space="0" w:color="auto"/>
        <w:bottom w:val="none" w:sz="0" w:space="0" w:color="auto"/>
        <w:right w:val="none" w:sz="0" w:space="0" w:color="auto"/>
      </w:divBdr>
      <w:divsChild>
        <w:div w:id="291863221">
          <w:marLeft w:val="0"/>
          <w:marRight w:val="0"/>
          <w:marTop w:val="240"/>
          <w:marBottom w:val="240"/>
          <w:divBdr>
            <w:top w:val="none" w:sz="0" w:space="0" w:color="auto"/>
            <w:left w:val="none" w:sz="0" w:space="0" w:color="auto"/>
            <w:bottom w:val="none" w:sz="0" w:space="0" w:color="auto"/>
            <w:right w:val="none" w:sz="0" w:space="0" w:color="auto"/>
          </w:divBdr>
          <w:divsChild>
            <w:div w:id="2023581560">
              <w:marLeft w:val="0"/>
              <w:marRight w:val="0"/>
              <w:marTop w:val="0"/>
              <w:marBottom w:val="0"/>
              <w:divBdr>
                <w:top w:val="none" w:sz="0" w:space="0" w:color="auto"/>
                <w:left w:val="none" w:sz="0" w:space="0" w:color="auto"/>
                <w:bottom w:val="none" w:sz="0" w:space="0" w:color="auto"/>
                <w:right w:val="none" w:sz="0" w:space="0" w:color="auto"/>
              </w:divBdr>
              <w:divsChild>
                <w:div w:id="20039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2189">
      <w:bodyDiv w:val="1"/>
      <w:marLeft w:val="0"/>
      <w:marRight w:val="0"/>
      <w:marTop w:val="0"/>
      <w:marBottom w:val="0"/>
      <w:divBdr>
        <w:top w:val="none" w:sz="0" w:space="0" w:color="auto"/>
        <w:left w:val="none" w:sz="0" w:space="0" w:color="auto"/>
        <w:bottom w:val="none" w:sz="0" w:space="0" w:color="auto"/>
        <w:right w:val="none" w:sz="0" w:space="0" w:color="auto"/>
      </w:divBdr>
      <w:divsChild>
        <w:div w:id="812016841">
          <w:marLeft w:val="0"/>
          <w:marRight w:val="0"/>
          <w:marTop w:val="0"/>
          <w:marBottom w:val="0"/>
          <w:divBdr>
            <w:top w:val="none" w:sz="0" w:space="0" w:color="auto"/>
            <w:left w:val="none" w:sz="0" w:space="0" w:color="auto"/>
            <w:bottom w:val="none" w:sz="0" w:space="0" w:color="auto"/>
            <w:right w:val="none" w:sz="0" w:space="0" w:color="auto"/>
          </w:divBdr>
        </w:div>
        <w:div w:id="2106416459">
          <w:marLeft w:val="0"/>
          <w:marRight w:val="0"/>
          <w:marTop w:val="0"/>
          <w:marBottom w:val="0"/>
          <w:divBdr>
            <w:top w:val="none" w:sz="0" w:space="0" w:color="auto"/>
            <w:left w:val="none" w:sz="0" w:space="0" w:color="auto"/>
            <w:bottom w:val="none" w:sz="0" w:space="0" w:color="auto"/>
            <w:right w:val="none" w:sz="0" w:space="0" w:color="auto"/>
          </w:divBdr>
        </w:div>
      </w:divsChild>
    </w:div>
    <w:div w:id="696808375">
      <w:bodyDiv w:val="1"/>
      <w:marLeft w:val="60"/>
      <w:marRight w:val="60"/>
      <w:marTop w:val="0"/>
      <w:marBottom w:val="0"/>
      <w:divBdr>
        <w:top w:val="none" w:sz="0" w:space="0" w:color="auto"/>
        <w:left w:val="none" w:sz="0" w:space="0" w:color="auto"/>
        <w:bottom w:val="none" w:sz="0" w:space="0" w:color="auto"/>
        <w:right w:val="none" w:sz="0" w:space="0" w:color="auto"/>
      </w:divBdr>
      <w:divsChild>
        <w:div w:id="1831827956">
          <w:marLeft w:val="0"/>
          <w:marRight w:val="0"/>
          <w:marTop w:val="240"/>
          <w:marBottom w:val="240"/>
          <w:divBdr>
            <w:top w:val="none" w:sz="0" w:space="0" w:color="auto"/>
            <w:left w:val="none" w:sz="0" w:space="0" w:color="auto"/>
            <w:bottom w:val="none" w:sz="0" w:space="0" w:color="auto"/>
            <w:right w:val="none" w:sz="0" w:space="0" w:color="auto"/>
          </w:divBdr>
          <w:divsChild>
            <w:div w:id="907301109">
              <w:marLeft w:val="0"/>
              <w:marRight w:val="0"/>
              <w:marTop w:val="0"/>
              <w:marBottom w:val="0"/>
              <w:divBdr>
                <w:top w:val="none" w:sz="0" w:space="0" w:color="auto"/>
                <w:left w:val="none" w:sz="0" w:space="0" w:color="auto"/>
                <w:bottom w:val="none" w:sz="0" w:space="0" w:color="auto"/>
                <w:right w:val="none" w:sz="0" w:space="0" w:color="auto"/>
              </w:divBdr>
              <w:divsChild>
                <w:div w:id="14021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90881">
      <w:bodyDiv w:val="1"/>
      <w:marLeft w:val="60"/>
      <w:marRight w:val="60"/>
      <w:marTop w:val="0"/>
      <w:marBottom w:val="0"/>
      <w:divBdr>
        <w:top w:val="none" w:sz="0" w:space="0" w:color="auto"/>
        <w:left w:val="none" w:sz="0" w:space="0" w:color="auto"/>
        <w:bottom w:val="none" w:sz="0" w:space="0" w:color="auto"/>
        <w:right w:val="none" w:sz="0" w:space="0" w:color="auto"/>
      </w:divBdr>
      <w:divsChild>
        <w:div w:id="2137214542">
          <w:marLeft w:val="0"/>
          <w:marRight w:val="0"/>
          <w:marTop w:val="240"/>
          <w:marBottom w:val="240"/>
          <w:divBdr>
            <w:top w:val="none" w:sz="0" w:space="0" w:color="auto"/>
            <w:left w:val="none" w:sz="0" w:space="0" w:color="auto"/>
            <w:bottom w:val="none" w:sz="0" w:space="0" w:color="auto"/>
            <w:right w:val="none" w:sz="0" w:space="0" w:color="auto"/>
          </w:divBdr>
          <w:divsChild>
            <w:div w:id="159662381">
              <w:marLeft w:val="0"/>
              <w:marRight w:val="0"/>
              <w:marTop w:val="0"/>
              <w:marBottom w:val="0"/>
              <w:divBdr>
                <w:top w:val="none" w:sz="0" w:space="0" w:color="auto"/>
                <w:left w:val="none" w:sz="0" w:space="0" w:color="auto"/>
                <w:bottom w:val="none" w:sz="0" w:space="0" w:color="auto"/>
                <w:right w:val="none" w:sz="0" w:space="0" w:color="auto"/>
              </w:divBdr>
              <w:divsChild>
                <w:div w:id="14794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95643">
      <w:bodyDiv w:val="1"/>
      <w:marLeft w:val="0"/>
      <w:marRight w:val="0"/>
      <w:marTop w:val="0"/>
      <w:marBottom w:val="0"/>
      <w:divBdr>
        <w:top w:val="none" w:sz="0" w:space="0" w:color="auto"/>
        <w:left w:val="none" w:sz="0" w:space="0" w:color="auto"/>
        <w:bottom w:val="none" w:sz="0" w:space="0" w:color="auto"/>
        <w:right w:val="none" w:sz="0" w:space="0" w:color="auto"/>
      </w:divBdr>
    </w:div>
    <w:div w:id="1089617252">
      <w:bodyDiv w:val="1"/>
      <w:marLeft w:val="0"/>
      <w:marRight w:val="0"/>
      <w:marTop w:val="0"/>
      <w:marBottom w:val="0"/>
      <w:divBdr>
        <w:top w:val="none" w:sz="0" w:space="0" w:color="auto"/>
        <w:left w:val="none" w:sz="0" w:space="0" w:color="auto"/>
        <w:bottom w:val="none" w:sz="0" w:space="0" w:color="auto"/>
        <w:right w:val="none" w:sz="0" w:space="0" w:color="auto"/>
      </w:divBdr>
    </w:div>
    <w:div w:id="1779522829">
      <w:bodyDiv w:val="1"/>
      <w:marLeft w:val="60"/>
      <w:marRight w:val="60"/>
      <w:marTop w:val="0"/>
      <w:marBottom w:val="0"/>
      <w:divBdr>
        <w:top w:val="none" w:sz="0" w:space="0" w:color="auto"/>
        <w:left w:val="none" w:sz="0" w:space="0" w:color="auto"/>
        <w:bottom w:val="none" w:sz="0" w:space="0" w:color="auto"/>
        <w:right w:val="none" w:sz="0" w:space="0" w:color="auto"/>
      </w:divBdr>
      <w:divsChild>
        <w:div w:id="1930654491">
          <w:marLeft w:val="0"/>
          <w:marRight w:val="0"/>
          <w:marTop w:val="240"/>
          <w:marBottom w:val="240"/>
          <w:divBdr>
            <w:top w:val="none" w:sz="0" w:space="0" w:color="auto"/>
            <w:left w:val="none" w:sz="0" w:space="0" w:color="auto"/>
            <w:bottom w:val="none" w:sz="0" w:space="0" w:color="auto"/>
            <w:right w:val="none" w:sz="0" w:space="0" w:color="auto"/>
          </w:divBdr>
          <w:divsChild>
            <w:div w:id="339436230">
              <w:marLeft w:val="0"/>
              <w:marRight w:val="0"/>
              <w:marTop w:val="0"/>
              <w:marBottom w:val="0"/>
              <w:divBdr>
                <w:top w:val="none" w:sz="0" w:space="0" w:color="auto"/>
                <w:left w:val="none" w:sz="0" w:space="0" w:color="auto"/>
                <w:bottom w:val="none" w:sz="0" w:space="0" w:color="auto"/>
                <w:right w:val="none" w:sz="0" w:space="0" w:color="auto"/>
              </w:divBdr>
              <w:divsChild>
                <w:div w:id="5994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6985">
      <w:bodyDiv w:val="1"/>
      <w:marLeft w:val="0"/>
      <w:marRight w:val="0"/>
      <w:marTop w:val="0"/>
      <w:marBottom w:val="0"/>
      <w:divBdr>
        <w:top w:val="none" w:sz="0" w:space="0" w:color="auto"/>
        <w:left w:val="none" w:sz="0" w:space="0" w:color="auto"/>
        <w:bottom w:val="none" w:sz="0" w:space="0" w:color="auto"/>
        <w:right w:val="none" w:sz="0" w:space="0" w:color="auto"/>
      </w:divBdr>
    </w:div>
    <w:div w:id="1951472532">
      <w:bodyDiv w:val="1"/>
      <w:marLeft w:val="60"/>
      <w:marRight w:val="60"/>
      <w:marTop w:val="0"/>
      <w:marBottom w:val="0"/>
      <w:divBdr>
        <w:top w:val="none" w:sz="0" w:space="0" w:color="auto"/>
        <w:left w:val="none" w:sz="0" w:space="0" w:color="auto"/>
        <w:bottom w:val="none" w:sz="0" w:space="0" w:color="auto"/>
        <w:right w:val="none" w:sz="0" w:space="0" w:color="auto"/>
      </w:divBdr>
      <w:divsChild>
        <w:div w:id="925185815">
          <w:marLeft w:val="0"/>
          <w:marRight w:val="0"/>
          <w:marTop w:val="240"/>
          <w:marBottom w:val="240"/>
          <w:divBdr>
            <w:top w:val="none" w:sz="0" w:space="0" w:color="auto"/>
            <w:left w:val="none" w:sz="0" w:space="0" w:color="auto"/>
            <w:bottom w:val="none" w:sz="0" w:space="0" w:color="auto"/>
            <w:right w:val="none" w:sz="0" w:space="0" w:color="auto"/>
          </w:divBdr>
          <w:divsChild>
            <w:div w:id="103888137">
              <w:marLeft w:val="0"/>
              <w:marRight w:val="0"/>
              <w:marTop w:val="0"/>
              <w:marBottom w:val="0"/>
              <w:divBdr>
                <w:top w:val="none" w:sz="0" w:space="0" w:color="auto"/>
                <w:left w:val="none" w:sz="0" w:space="0" w:color="auto"/>
                <w:bottom w:val="none" w:sz="0" w:space="0" w:color="auto"/>
                <w:right w:val="none" w:sz="0" w:space="0" w:color="auto"/>
              </w:divBdr>
              <w:divsChild>
                <w:div w:id="8494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2989</Words>
  <Characters>21086</Characters>
  <Application>Microsoft Office Word</Application>
  <DocSecurity>0</DocSecurity>
  <Lines>175</Lines>
  <Paragraphs>48</Paragraphs>
  <ScaleCrop>false</ScaleCrop>
  <HeadingPairs>
    <vt:vector size="2" baseType="variant">
      <vt:variant>
        <vt:lpstr>Konu Başlığı</vt:lpstr>
      </vt:variant>
      <vt:variant>
        <vt:i4>1</vt:i4>
      </vt:variant>
    </vt:vector>
  </HeadingPairs>
  <TitlesOfParts>
    <vt:vector size="1" baseType="lpstr">
      <vt:lpstr>Onkolojik endikasyonları belirleyen tablonun kurgusu bence kısmen yetersiz ve bazen yanlış anlaşılmalara neden olabilecek nitelikte</vt:lpstr>
    </vt:vector>
  </TitlesOfParts>
  <Company>DiagnaMED</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Onkolojik endikasyonları belirleyen tablonun kurgusu bence kısmen yetersiz ve bazen yanlış anlaşılmalara neden olabilecek nitelikte</dc:title>
  <dc:creator>KS</dc:creator>
  <cp:lastModifiedBy>NALAN BILGE CANDAR</cp:lastModifiedBy>
  <cp:revision>9</cp:revision>
  <cp:lastPrinted>2010-03-22T13:05:00Z</cp:lastPrinted>
  <dcterms:created xsi:type="dcterms:W3CDTF">2024-03-05T11:10:00Z</dcterms:created>
  <dcterms:modified xsi:type="dcterms:W3CDTF">2024-03-13T11:30:00Z</dcterms:modified>
</cp:coreProperties>
</file>